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D6" w:rsidRDefault="00140FD6" w:rsidP="00E93A18">
      <w:pPr>
        <w:spacing w:after="0" w:line="240" w:lineRule="auto"/>
        <w:jc w:val="center"/>
        <w:outlineLvl w:val="0"/>
        <w:rPr>
          <w:rFonts w:eastAsia="Times New Roman"/>
          <w:b/>
          <w:color w:val="000000"/>
          <w:kern w:val="36"/>
          <w:sz w:val="24"/>
          <w:szCs w:val="24"/>
          <w:lang w:eastAsia="ru-RU"/>
        </w:rPr>
      </w:pPr>
      <w:proofErr w:type="spellStart"/>
      <w:r w:rsidRPr="00E93A18">
        <w:rPr>
          <w:rFonts w:eastAsia="Times New Roman"/>
          <w:b/>
          <w:color w:val="000000"/>
          <w:kern w:val="36"/>
          <w:sz w:val="24"/>
          <w:szCs w:val="24"/>
          <w:lang w:eastAsia="ru-RU"/>
        </w:rPr>
        <w:t>Грейдирование</w:t>
      </w:r>
      <w:proofErr w:type="spellEnd"/>
      <w:r w:rsidRPr="00E93A18">
        <w:rPr>
          <w:rFonts w:eastAsia="Times New Roman"/>
          <w:b/>
          <w:color w:val="000000"/>
          <w:kern w:val="36"/>
          <w:sz w:val="24"/>
          <w:szCs w:val="24"/>
          <w:lang w:eastAsia="ru-RU"/>
        </w:rPr>
        <w:t xml:space="preserve"> как технология управления должностью</w:t>
      </w:r>
    </w:p>
    <w:p w:rsidR="00E93A18" w:rsidRPr="00E93A18" w:rsidRDefault="00E93A18" w:rsidP="00E93A18">
      <w:pPr>
        <w:spacing w:after="0" w:line="240" w:lineRule="auto"/>
        <w:jc w:val="center"/>
        <w:outlineLvl w:val="0"/>
        <w:rPr>
          <w:rFonts w:eastAsia="Times New Roman"/>
          <w:b/>
          <w:color w:val="000000"/>
          <w:kern w:val="36"/>
          <w:sz w:val="24"/>
          <w:szCs w:val="24"/>
          <w:lang w:eastAsia="ru-RU"/>
        </w:rPr>
      </w:pP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Каждый труд должен быть справедливо оплачен,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в противном случае он превращается в эксплуатацию.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Али </w:t>
      </w:r>
      <w:proofErr w:type="spellStart"/>
      <w:r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Апшерони</w:t>
      </w:r>
      <w:proofErr w:type="spellEnd"/>
    </w:p>
    <w:p w:rsidR="00E93A18" w:rsidRDefault="00E93A18" w:rsidP="00E93A18">
      <w:pPr>
        <w:spacing w:after="0" w:line="240" w:lineRule="auto"/>
        <w:jc w:val="both"/>
        <w:rPr>
          <w:rFonts w:eastAsia="Times New Roman"/>
          <w:i/>
          <w:iCs/>
          <w:color w:val="000000"/>
          <w:sz w:val="24"/>
          <w:szCs w:val="24"/>
          <w:lang w:eastAsia="ru-RU"/>
        </w:rPr>
      </w:pP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     </w:t>
      </w:r>
      <w:proofErr w:type="spellStart"/>
      <w:r w:rsidR="00140FD6"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Грейдирование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 (</w:t>
      </w:r>
      <w:r w:rsidR="00140FD6"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от англ.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>grade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– ранг, степень, класс) – одна из наиболее часто упоминающихся в контексте современной мотивации персонала процедур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Грейдирование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– это часть материальной мотивации персонала, сущность которой заключается в гармонизации окладов работников.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Грейдинг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– система процедур по оценке и ранжированию должностей, в результате которых они распределяются по группам (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грейдам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) в соответствии с их ценностью для компании.</w:t>
      </w:r>
    </w:p>
    <w:p w:rsid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Прототипом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грейдирования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можно считать советскую систему присвоения профессиям разрядов в соответствии с квалификацией исполнителя и характером работ. В СССР с 1968 г. применялся 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Единый тарифно-квалификационный справочник (ЕТКС), обязательный для всех отраслей. Сегодня в России действует Общероссийский классификатор профессий рабочих, должностей служащих и тарифных разрядов (ОКПДТР). Этот классификатор – составная часть Единой системы классификации и кодирования информации (ЕСКК) в Российской Федерации, он введён в действие с 1 января 1996 г. в рамках выполнения Государственной программы перехода Российской Федерации на принятую в международной практике систему учёта и статистики.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Сегодня российские государственные предприятия для начисления зарплат используют преимущественно тарифно-квалификационный справочник. Бюджетное финансирование жестко связано с нормативно-правовыми актами трудового законодательства. Частные компании имеют большую свободу, и все чаще выбирают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грейдирование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Хэй-методу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. Система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грейдов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пришла из США, где в начале 60-х прошлого века Эдуард Н.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Хэй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разработал методику оценки должностей разного профессионального профиля исходя из универсальных критериев. С тех пор система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грейдов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успешно зарекомендовала себя и сегодня считается лучшей основой для прозрачной и управляемой системы оплаты труда. Главное отличие западного подхода </w:t>
      </w:r>
      <w:proofErr w:type="gram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от</w:t>
      </w:r>
      <w:proofErr w:type="gram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отечественного: хороший специалист может получать большую зарплату, чем его непосредственный начальник.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Грейдирование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позволяет построить иерархию должностей в зависимости от их ценности для бизнеса, и разработать соответствующую систему оплаты труда, точнее, базового вознаграждения, которое сотрудники получают за выполнение должностных обязанностей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на «нормальном» уровне (рис. 1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90925" cy="1562100"/>
            <wp:effectExtent l="19050" t="0" r="9525" b="0"/>
            <wp:docPr id="1" name="Рисунок 1" descr="https://studfile.net/html/2706/34/html_SAnRDwNcrw.FKLt/img-trVH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34/html_SAnRDwNcrw.FKLt/img-trVHC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i/>
          <w:iCs/>
          <w:color w:val="000000"/>
          <w:sz w:val="24"/>
          <w:szCs w:val="24"/>
          <w:lang w:eastAsia="ru-RU"/>
        </w:rPr>
        <w:t>Рис. 1</w:t>
      </w:r>
      <w:r w:rsidR="00140FD6"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– Элементы системы </w:t>
      </w:r>
      <w:proofErr w:type="spellStart"/>
      <w:r w:rsidR="00140FD6"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грейдирования</w:t>
      </w:r>
      <w:proofErr w:type="spellEnd"/>
      <w:r w:rsidR="00140FD6"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персонала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Цели </w:t>
      </w:r>
      <w:proofErr w:type="spellStart"/>
      <w:r w:rsidRPr="00E93A18">
        <w:rPr>
          <w:rFonts w:eastAsia="Times New Roman"/>
          <w:color w:val="000000"/>
          <w:sz w:val="24"/>
          <w:szCs w:val="24"/>
          <w:lang w:eastAsia="ru-RU"/>
        </w:rPr>
        <w:t>грейдирования</w:t>
      </w:r>
      <w:proofErr w:type="spellEnd"/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 персонала: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- установить объективную ценность каждого сотрудника для организации;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- повысить прозрачность карьерных перспектив для сотрудников;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- увеличить эффективность использования фонда оплаты труда от 10 до 50%;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lastRenderedPageBreak/>
        <w:t>- качественно оценить действующий персонал;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- привлечь внимание потенциальных кандидатов на рынке труда.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В современном кадровом менеджменте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грейдирование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– необходимый инструмент организационного планирования и управления затратами на персонал.</w:t>
      </w:r>
    </w:p>
    <w:p w:rsid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Грейдирование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позволяет систематизировать все должности в организации, установить верхние и нижние границы оплаты труда для каждого уровня (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грейда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) и создать инструмент для начисления зарплаты.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Грейдирование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регулирует именно оклады.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Зарплатные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«вилки» позволяют избежать непомерного увеличения фонда оплаты труда за счет произвольного повышения окладов, установить справедливые зарплаты для давно работающих сотрудников и повысить их мотивацию, материально вознаграждать человека только по его реальному вкладу в общее дело. После проведения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грейдирования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каждый сотрудник может увидеть связь между своей работой и доходами компании.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Суть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грейдирования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проста: все должности компании оцениваются по ряду критериев, таких, например, как уровень ответственности, требования к квалификации, влияние на финансовый результат и т.д., в зависимости от специфики бизнеса компании. На выходе создается система функционально-должностных уровней, где должности выстроены в иерархию в соответствии с их ценностью для бизнеса. К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грейду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привязывается «вилка» оплаты и объем социальных гарантий и льгот. Таким образом, оплата труда сотрудников становится не только прозрачной и справедливой, но, что очень важно, и управляемой.</w:t>
      </w:r>
    </w:p>
    <w:p w:rsid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Система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грейдов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позволяет гибко выстраивать схему должностных уровней, учитывая не только квалификацию и стаж, но и другие, не менее значимые факторы, такие как уровень управленческой и финансовой ответственности, сложность принимаемых решений и другие. 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Таким образом, в системе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грейдов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каждая должность находит свое место в «табели о рангах» и получает соответствующую оценку в виде «вилки» оклада. Эксперт высокой квалификации, «закрывающий» ответственный участок бизнес-процесса, может иметь более высокий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, чем руководитель отдела в непрофильном направлении деятельности компании. Это обеспечивает сотрудникам не только управленческую, но и профессиональную карьеру, что важно для крупного и среднего бизнеса.</w:t>
      </w:r>
    </w:p>
    <w:p w:rsid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Вместе с тем, опыт внедрения системы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грейдов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в российских компаниях показал и слабые стороны этой системы. 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Грейдирование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– достаточно громоздкая и трудоемкая процедура, к тому же требует привлечения внешних консультантов.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Главными правилами корректного использования системы </w:t>
      </w:r>
      <w:proofErr w:type="spellStart"/>
      <w:r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>грейдов</w:t>
      </w:r>
      <w:proofErr w:type="spellEnd"/>
      <w:r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подразумевают: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1) вовлечение в проект </w:t>
      </w:r>
      <w:proofErr w:type="spellStart"/>
      <w:r w:rsidRPr="00E93A18">
        <w:rPr>
          <w:rFonts w:eastAsia="Times New Roman"/>
          <w:color w:val="000000"/>
          <w:sz w:val="24"/>
          <w:szCs w:val="24"/>
          <w:lang w:eastAsia="ru-RU"/>
        </w:rPr>
        <w:t>грейдирования</w:t>
      </w:r>
      <w:proofErr w:type="spellEnd"/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 первого лица и ключевых менеджеров (в противном случае система </w:t>
      </w:r>
      <w:proofErr w:type="spellStart"/>
      <w:r w:rsidRPr="00E93A18">
        <w:rPr>
          <w:rFonts w:eastAsia="Times New Roman"/>
          <w:color w:val="000000"/>
          <w:sz w:val="24"/>
          <w:szCs w:val="24"/>
          <w:lang w:eastAsia="ru-RU"/>
        </w:rPr>
        <w:t>грейдов</w:t>
      </w:r>
      <w:proofErr w:type="spellEnd"/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 будет восприниматься как навязанная и малоосмысленная);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2) четкие критерии оценки должностей, максимально адаптированные к компании и однозначно понимаемые всеми руководителями компании;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3) «каскадное» согласование разработанной системы </w:t>
      </w:r>
      <w:proofErr w:type="spellStart"/>
      <w:r w:rsidRPr="00E93A18">
        <w:rPr>
          <w:rFonts w:eastAsia="Times New Roman"/>
          <w:color w:val="000000"/>
          <w:sz w:val="24"/>
          <w:szCs w:val="24"/>
          <w:lang w:eastAsia="ru-RU"/>
        </w:rPr>
        <w:t>грейдов</w:t>
      </w:r>
      <w:proofErr w:type="spellEnd"/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: от уровня линейных руководителей до </w:t>
      </w:r>
      <w:proofErr w:type="spellStart"/>
      <w:proofErr w:type="gramStart"/>
      <w:r w:rsidRPr="00E93A18">
        <w:rPr>
          <w:rFonts w:eastAsia="Times New Roman"/>
          <w:color w:val="000000"/>
          <w:sz w:val="24"/>
          <w:szCs w:val="24"/>
          <w:lang w:eastAsia="ru-RU"/>
        </w:rPr>
        <w:t>топ-менеджеров</w:t>
      </w:r>
      <w:proofErr w:type="spellEnd"/>
      <w:proofErr w:type="gramEnd"/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 («сверху вниз» и «снизу вверх»);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4) обязательная привязка мотивационной и компенсационной политики к системе </w:t>
      </w:r>
      <w:proofErr w:type="spellStart"/>
      <w:r w:rsidRPr="00E93A18">
        <w:rPr>
          <w:rFonts w:eastAsia="Times New Roman"/>
          <w:color w:val="000000"/>
          <w:sz w:val="24"/>
          <w:szCs w:val="24"/>
          <w:lang w:eastAsia="ru-RU"/>
        </w:rPr>
        <w:t>грейдов</w:t>
      </w:r>
      <w:proofErr w:type="spellEnd"/>
      <w:r w:rsidRPr="00E93A18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5) регулярное совершенствование системы </w:t>
      </w:r>
      <w:proofErr w:type="spellStart"/>
      <w:r w:rsidRPr="00E93A18">
        <w:rPr>
          <w:rFonts w:eastAsia="Times New Roman"/>
          <w:color w:val="000000"/>
          <w:sz w:val="24"/>
          <w:szCs w:val="24"/>
          <w:lang w:eastAsia="ru-RU"/>
        </w:rPr>
        <w:t>грейдов</w:t>
      </w:r>
      <w:proofErr w:type="spellEnd"/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. Грамотно выстроенная система </w:t>
      </w:r>
      <w:proofErr w:type="spellStart"/>
      <w:r w:rsidRPr="00E93A18">
        <w:rPr>
          <w:rFonts w:eastAsia="Times New Roman"/>
          <w:color w:val="000000"/>
          <w:sz w:val="24"/>
          <w:szCs w:val="24"/>
          <w:lang w:eastAsia="ru-RU"/>
        </w:rPr>
        <w:t>грейдов</w:t>
      </w:r>
      <w:proofErr w:type="spellEnd"/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 имеет долгий срок жизни, но, как показывает практика, требует пересмотра каждые 2-3 года.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Процесс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грейдирования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может касаться как оценки должностей невзирая на лица, так и оценку конкретных людей, занимающих определенные позиции. В зависимости от подхода можно разделить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грейдирование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на 2 типа: </w:t>
      </w:r>
      <w:proofErr w:type="gramStart"/>
      <w:r w:rsidR="00140FD6"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>формальный</w:t>
      </w:r>
      <w:proofErr w:type="gramEnd"/>
      <w:r w:rsidR="00140FD6"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и персональный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</w:t>
      </w:r>
      <w:r w:rsidR="00140FD6"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>Формальный подход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чаще всего наблюдается в больших компаниях, где есть очень много различных подразделений, и иерархия персонала имеет много градаций. Неважно,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lastRenderedPageBreak/>
        <w:t>кто именно занимает ту или иную должность. Суть в том, чтобы показать каждому сотруднику путь вверх по карьерной (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грейдовой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) лестнице.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здесь зависит от ценности и важности для компании именно этой должности.</w:t>
      </w:r>
    </w:p>
    <w:p w:rsid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</w:t>
      </w:r>
      <w:r w:rsidR="00140FD6"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>Персональный подход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позволяет </w:t>
      </w:r>
      <w:proofErr w:type="gram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оценить</w:t>
      </w:r>
      <w:proofErr w:type="gram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и распределяются по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грейдам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людей лично. Это характерно для организаций, небольших по численности персонала. Здесь учитывается как ценность для компании выполняемой работы, так и ценность самого человека, с его уникальным набором компетенций, личных качеств, опыта и таланта.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  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Персональный подход оценки очень полезен там, где каждый сотрудник выполняет разнообразные функции, иногда непрямые служебные обязанности на постоянной основе.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E93A18">
        <w:rPr>
          <w:rFonts w:eastAsia="Times New Roman"/>
          <w:color w:val="000000"/>
          <w:sz w:val="24"/>
          <w:szCs w:val="24"/>
          <w:lang w:eastAsia="ru-RU"/>
        </w:rPr>
        <w:t>Грейдинг</w:t>
      </w:r>
      <w:proofErr w:type="spellEnd"/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 должностей, </w:t>
      </w:r>
      <w:proofErr w:type="gramStart"/>
      <w:r w:rsidRPr="00E93A18">
        <w:rPr>
          <w:rFonts w:eastAsia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 проводится в больших стабильных компаниях с низкой текучестью кадров, включает в себя и личную оценку сотрудника.</w:t>
      </w:r>
    </w:p>
    <w:p w:rsidR="00140FD6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</w:t>
      </w:r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Процедура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грейдирования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 xml:space="preserve"> достаточно </w:t>
      </w:r>
      <w:proofErr w:type="spellStart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затратна</w:t>
      </w:r>
      <w:proofErr w:type="spellEnd"/>
      <w:r w:rsidR="00140FD6" w:rsidRPr="00E93A18">
        <w:rPr>
          <w:rFonts w:eastAsia="Times New Roman"/>
          <w:color w:val="000000"/>
          <w:sz w:val="24"/>
          <w:szCs w:val="24"/>
          <w:lang w:eastAsia="ru-RU"/>
        </w:rPr>
        <w:t>. Для ее проведения потребуются ресурсы, а именно: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1) информация (стратегия, цели и планы компании; организационная структура предприятия; каталог должностей и должностные инструкции; анализ заработных плат сектора и т.п.);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2) люди (экспертная комиссия в составе 10-15 человек: топ-менеджмент, руководители среднего звена, сотрудник отдела управления персоналом; возможно привлечение внешнего консультанта);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3) финансы (зарплаты членов экспертной комиссии, а также затраты на обучение и услуги консалтинговых агентств);</w:t>
      </w:r>
    </w:p>
    <w:p w:rsidR="00140FD6" w:rsidRPr="00E93A18" w:rsidRDefault="00140FD6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4) время (в среднем 1–1,5 года на разработку и внедрение).</w:t>
      </w:r>
    </w:p>
    <w:p w:rsidR="005266FA" w:rsidRPr="00E93A18" w:rsidRDefault="00E93A18" w:rsidP="00E93A18">
      <w:pPr>
        <w:spacing w:after="0" w:line="240" w:lineRule="auto"/>
        <w:jc w:val="both"/>
        <w:outlineLvl w:val="0"/>
        <w:rPr>
          <w:rFonts w:eastAsia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eastAsia="Times New Roman"/>
          <w:color w:val="000000"/>
          <w:kern w:val="36"/>
          <w:sz w:val="24"/>
          <w:szCs w:val="24"/>
          <w:lang w:eastAsia="ru-RU"/>
        </w:rPr>
        <w:t xml:space="preserve">           </w:t>
      </w:r>
      <w:r w:rsidR="005266FA" w:rsidRPr="00E93A18">
        <w:rPr>
          <w:rFonts w:eastAsia="Times New Roman"/>
          <w:b/>
          <w:color w:val="000000"/>
          <w:kern w:val="36"/>
          <w:sz w:val="24"/>
          <w:szCs w:val="24"/>
          <w:lang w:eastAsia="ru-RU"/>
        </w:rPr>
        <w:t>Система управления талантами организации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5266FA"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Талант – как породистый конь,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необходимо научиться управлять им,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а если дергать повода во все стороны,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конь превратиться в </w:t>
      </w:r>
      <w:proofErr w:type="gramStart"/>
      <w:r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клячу</w:t>
      </w:r>
      <w:proofErr w:type="gramEnd"/>
      <w:r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...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Максим Горький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Ситуацию на современном рынке труда (как на западном, так и на российском) характеризует емкое определение «война за таланты», введенное в конце 90-х годов.</w:t>
      </w:r>
      <w:proofErr w:type="gram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 Этот процесс возникает по объективным причинам: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- возросшая роль нематериальных активов компаний (торговых марок, технологий, знаний) в постиндустриальную эпоху определила резкое повышение спроса на компетентных сотрудников;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- глобализация бизнеса и укрупнение предприятий усилили потребность в </w:t>
      </w:r>
      <w:proofErr w:type="spellStart"/>
      <w:proofErr w:type="gramStart"/>
      <w:r w:rsidRPr="00E93A18">
        <w:rPr>
          <w:rFonts w:eastAsia="Times New Roman"/>
          <w:color w:val="000000"/>
          <w:sz w:val="24"/>
          <w:szCs w:val="24"/>
          <w:lang w:eastAsia="ru-RU"/>
        </w:rPr>
        <w:t>топ-менеджерах</w:t>
      </w:r>
      <w:proofErr w:type="spellEnd"/>
      <w:proofErr w:type="gramEnd"/>
      <w:r w:rsidRPr="00E93A18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- значительно снизилась лояльность сотрудников к компаниям, современные работники (особенно талантливые) стремятся строить карьеру, переходя из одной организации в другую в поисках лучших мест для самореализации.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Все это вынуждает работодателей заниматься активным поиском талантов внутри и вне своих компаний, а затем обеспечивать им развитие и достойное применение в решении приоритетных </w:t>
      </w:r>
      <w:proofErr w:type="spellStart"/>
      <w:proofErr w:type="gramStart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бизнес-задач</w:t>
      </w:r>
      <w:proofErr w:type="spellEnd"/>
      <w:proofErr w:type="gram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. Возникает необходимость в системном управлении талантами.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     </w:t>
      </w:r>
      <w:proofErr w:type="gramStart"/>
      <w:r w:rsidR="005266FA"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Управление талантами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 – целенаправленная деятельность в компании по созданию, развитию и использованию когорты талантливых сотрудников, умеющих эффективно решать сложные </w:t>
      </w:r>
      <w:proofErr w:type="spellStart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бизнес-задачи</w:t>
      </w:r>
      <w:proofErr w:type="spell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 и способных в дальнейшем занять руководящие позиции.</w:t>
      </w:r>
      <w:proofErr w:type="gram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 Термин «</w:t>
      </w:r>
      <w:proofErr w:type="spellStart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talent</w:t>
      </w:r>
      <w:proofErr w:type="spell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management</w:t>
      </w:r>
      <w:proofErr w:type="spell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» впервые был введен </w:t>
      </w:r>
      <w:proofErr w:type="spellStart"/>
      <w:proofErr w:type="gramStart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М</w:t>
      </w:r>
      <w:proofErr w:type="gram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cKinsey&amp;Company</w:t>
      </w:r>
      <w:proofErr w:type="spell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 в 1997 г. Последующие исследования подтвердили, что это словосочетание характеризует современную тенденцию в мировом менеджменте, которая сохранится в ближайшие 15-20 лет.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Управление талантами позволяет выявлять и удерживать ключевых людей на ключевых должностях, мотивировать их на высокие индивидуальные результаты.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Цель управления таланами – выявить таланты сотрудников и применить их наилучшим для сотрудника и компании образом.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Ключевая идея управления талантами – это изменение установок по отношению к персоналу. Компания должна перейти от идеологии равенства к идее дифференциации, когда талантливых людей выделяют из общей массы, на них делают ставку, в них вкладывают инвестиции. Необходимо выстраивать всю систему управления в компании согласно новой идеологии. Работать не только над отбором наиболее перспективных сотрудников, но и планировать их назначения, использовать инструменты развития, з</w:t>
      </w:r>
      <w:r>
        <w:rPr>
          <w:rFonts w:eastAsia="Times New Roman"/>
          <w:color w:val="000000"/>
          <w:sz w:val="24"/>
          <w:szCs w:val="24"/>
          <w:lang w:eastAsia="ru-RU"/>
        </w:rPr>
        <w:t>аниматься их удержанием (рис. 2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90925" cy="1562100"/>
            <wp:effectExtent l="19050" t="0" r="9525" b="0"/>
            <wp:docPr id="3" name="Рисунок 3" descr="https://studfile.net/html/2706/34/html_SAnRDwNcrw.FKLt/img-Pm8lj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34/html_SAnRDwNcrw.FKLt/img-Pm8lj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i/>
          <w:iCs/>
          <w:color w:val="000000"/>
          <w:sz w:val="24"/>
          <w:szCs w:val="24"/>
          <w:lang w:eastAsia="ru-RU"/>
        </w:rPr>
        <w:t>Рис. 2</w:t>
      </w:r>
      <w:r w:rsidR="005266FA"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 xml:space="preserve"> – Элементы системы управления талантами организации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Талантливый сотрудник не только обладает высоким уровнем текущих компетенций, но и мощным потенциалом развития. Обычно выделяют две категории: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1) </w:t>
      </w:r>
      <w:r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>таланты в профессии</w:t>
      </w: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 – люди, которые обладают уникальными знаниями и способностями в своей области;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2) </w:t>
      </w:r>
      <w:r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>талантливые управленцы</w:t>
      </w: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 – люди, обладающие менеджерскими компетенциями, важными для конкретной организации и потенциалом для роста. Талантливый управленец должен обладает системным мышлением и масштабным видением, способностью мыслить на перспективу и иметь мощную мотивацию к достижению цели, готовность к переменам, способность принять новые обстоятельства. Такой человек нацелен на свое развитие, готов к новым идеям, нововведениям и инновациям.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5266FA" w:rsidRPr="00E93A18">
        <w:rPr>
          <w:rFonts w:eastAsia="Times New Roman"/>
          <w:color w:val="000000"/>
          <w:sz w:val="24"/>
          <w:szCs w:val="24"/>
          <w:u w:val="single"/>
          <w:lang w:eastAsia="ru-RU"/>
        </w:rPr>
        <w:t>Управление талантами имеет две ключевые стратегии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Суть первой заключается в выражении: «Найти наилучшее применение природным дарованиям каждого сотрудника». Приверженцы такого подхода считают, что каждый человек (сотрудник или кандидат) в чем-то талантлив (имеет выдающиеся способности). Задача менеджера по персоналу – выявить эти таланты и сделать так, чтобы сотрудник смог проявить его на благо компании.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Менеджеры, реализующие эту стратегию, идут двумя путями: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1) Выявляют талант кандидата на входе в компанию, т.е., по сути, даже не привязываются к конкретной позиции, проводя собеседование, подбирая позицию под талант человека;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>2) Определяют, в чем именно талантливы уже работающие сотрудники, и перемещают их на лучшую для них должность.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При выборе данной стратегии управления талантами, компания должна быть готова к большому количеству внутренних ротаций.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 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Этот путь выбрало немецкое отделение </w:t>
      </w:r>
      <w:proofErr w:type="spellStart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Дойче</w:t>
      </w:r>
      <w:proofErr w:type="spell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 банка. Их </w:t>
      </w:r>
      <w:proofErr w:type="spellStart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Talent</w:t>
      </w:r>
      <w:proofErr w:type="spell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Management</w:t>
      </w:r>
      <w:proofErr w:type="spell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Program</w:t>
      </w:r>
      <w:proofErr w:type="spellEnd"/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 xml:space="preserve"> подразумевала выявление талантов сотрудников и ротацию их на ту позицию в компании, где способность проявится наилучшим образом. T&amp;D специалисты банка в течение года провели сотни интервью с сотрудниками и менеджерами для выявления истинных талантов персонала, в результате чего многие сотрудники поменяли сферу деятельности в рамках банка. Философия такого подхода проста – в условиях борьбы за персонал лучшей стратегией является предоставление возможностей сотрудникам заниматься тем, в чем они талантливы, от чего выигрывает и сам сотрудник, и компания.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Суть второй стратегии управления талантами заключается в выражении: «Талант – большой потенциал профессионального роста». Чаще всего под талантом сотрудника </w:t>
      </w:r>
      <w:r w:rsidRPr="00E93A18">
        <w:rPr>
          <w:rFonts w:eastAsia="Times New Roman"/>
          <w:color w:val="000000"/>
          <w:sz w:val="24"/>
          <w:szCs w:val="24"/>
          <w:lang w:eastAsia="ru-RU"/>
        </w:rPr>
        <w:lastRenderedPageBreak/>
        <w:t>подразумевают не его природные дарования, которые порой не видны или не нужны на текущем рабочем месте, а большой потенциал к развитию хотя бы одной из корпоративных компетенций (управленческих или профессиональных). При таком подходе у менеджеров появляется понятие «ключевой» персонал, которому компания уделяет максимальное внимание, и «остальной» персонал. Эта стратегия популярна и в России, и за рубежом.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Существуют и другие подходы к управлению талантами организации, представленные в табл. </w:t>
      </w:r>
      <w:r w:rsidR="00E93A18">
        <w:rPr>
          <w:rFonts w:eastAsia="Times New Roman"/>
          <w:color w:val="000000"/>
          <w:sz w:val="24"/>
          <w:szCs w:val="24"/>
          <w:lang w:eastAsia="ru-RU"/>
        </w:rPr>
        <w:t>1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i/>
          <w:iCs/>
          <w:color w:val="000000"/>
          <w:sz w:val="24"/>
          <w:szCs w:val="24"/>
          <w:lang w:eastAsia="ru-RU"/>
        </w:rPr>
        <w:t>Подходы к управлению талантами организации</w:t>
      </w:r>
    </w:p>
    <w:tbl>
      <w:tblPr>
        <w:tblW w:w="9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61"/>
        <w:gridCol w:w="7600"/>
      </w:tblGrid>
      <w:tr w:rsidR="005266FA" w:rsidRPr="00E93A18" w:rsidTr="00E93A18"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Концепция</w:t>
            </w:r>
          </w:p>
        </w:tc>
        <w:tc>
          <w:tcPr>
            <w:tcW w:w="7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Суть подхода</w:t>
            </w:r>
          </w:p>
        </w:tc>
      </w:tr>
      <w:tr w:rsidR="005266FA" w:rsidRPr="00E93A18" w:rsidTr="00E93A18"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Стратегия «Фокус – на таланты»</w:t>
            </w:r>
          </w:p>
        </w:tc>
        <w:tc>
          <w:tcPr>
            <w:tcW w:w="7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Компания отказывается от равного подхода ко всем сотрудникам и концентрирует внимание на таланты. Ключевыми критериями отбора талантов являются потенциал сотрудника к росту (самореализации) в данной компании и его результативность. Потенциал позволяют измерить корпоративные компетенции, которые определяются стратегическими целями фирмы и задают требования к личностным характеристикам и мотивации каждого сотрудника. Оценка результативности происходит по ключевым показателям эффективности (KPI) или иным существующим в компании критериям.</w:t>
            </w:r>
          </w:p>
        </w:tc>
      </w:tr>
      <w:tr w:rsidR="005266FA" w:rsidRPr="00E93A18" w:rsidTr="00E93A18"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Развитие талантов приоритетно и происходит не под должность, а под следующий управленческий уровень</w:t>
            </w:r>
          </w:p>
        </w:tc>
        <w:tc>
          <w:tcPr>
            <w:tcW w:w="7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отобранных талантливых сотрудников формируется сплоченная корпоративная группа, которой компания приоритетно обеспечивает развитие, происходящее в обстановке гласности и открытости. Его цель – не подготовить человека для конкретной позиции, а поднять его на более высокий управленческий уровень, помочь развить мышление и навыки руководителя, стратегическое видение. Таким образом, использование талантов не ограничивается типовым маршрутом карьерного роста и при необходимости возможно направление их, к примеру, на управленческие должности в новом бизнесе.</w:t>
            </w:r>
          </w:p>
        </w:tc>
      </w:tr>
      <w:tr w:rsidR="005266FA" w:rsidRPr="00E93A18" w:rsidTr="00E93A18"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Немедленное</w:t>
            </w:r>
          </w:p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инвестирование в выявленные таланты</w:t>
            </w:r>
          </w:p>
        </w:tc>
        <w:tc>
          <w:tcPr>
            <w:tcW w:w="7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дожидаясь кадровых назначений, потенциал отобранных сотрудников начинает использоваться максимально интенсивно (помимо выполнения непосредственных должностных обязанностей):</w:t>
            </w:r>
          </w:p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они в приоритетном порядке занимаются стратегическими проектами;</w:t>
            </w:r>
          </w:p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им поручаются наставничество и передача лучшего опыта;</w:t>
            </w:r>
          </w:p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они становятся «агентами изменений», на которых топ-менеджмент компании в первую очередь опирается при внедрении инноваций или проведении всевозможных реформ.</w:t>
            </w:r>
          </w:p>
        </w:tc>
      </w:tr>
      <w:tr w:rsidR="005266FA" w:rsidRPr="00E93A18" w:rsidTr="00E93A18"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Закрытие вакансии и замещение слабых менеджеров лучшими кандидатами из числа талантов</w:t>
            </w:r>
          </w:p>
        </w:tc>
        <w:tc>
          <w:tcPr>
            <w:tcW w:w="7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течение последующих 1-2 лет наиболее сильные из числа отобранных талантов назначаются на более высокие должности, замещая слабых действующих менеджеров.</w:t>
            </w:r>
            <w:proofErr w:type="gramEnd"/>
          </w:p>
          <w:p w:rsidR="005266FA" w:rsidRPr="00E93A18" w:rsidRDefault="005266FA" w:rsidP="00E93A1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 этом</w:t>
            </w:r>
            <w:proofErr w:type="gramStart"/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E93A1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под новый управленческий уровень открыто ведется развитие всех корпоративных талантов. Под конкретные позиции закрыто отбираются и целенаправленно готовятся лучшие. Их отбором, отслеживанием вакансий и планированием замещений занимается кадровая служба.</w:t>
            </w:r>
          </w:p>
        </w:tc>
      </w:tr>
    </w:tbl>
    <w:p w:rsid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t xml:space="preserve">В рамках системы управления талантами рост людей может осуществляться не только за счет их перемещения по карьерной лестнице, но и путем вовлечения в новые проекты, предоставления новых зон ответственности и т.п. </w:t>
      </w:r>
    </w:p>
    <w:p w:rsidR="005266FA" w:rsidRPr="00E93A18" w:rsidRDefault="005266FA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93A18">
        <w:rPr>
          <w:rFonts w:eastAsia="Times New Roman"/>
          <w:color w:val="000000"/>
          <w:sz w:val="24"/>
          <w:szCs w:val="24"/>
          <w:lang w:eastAsia="ru-RU"/>
        </w:rPr>
        <w:lastRenderedPageBreak/>
        <w:t>При этом организация, в свою очередь, получает отдачу от наиболее полного использования ярких идей, опыта и возможностей своего персонала.</w:t>
      </w:r>
    </w:p>
    <w:p w:rsidR="005266FA" w:rsidRPr="00E93A18" w:rsidRDefault="00E93A18" w:rsidP="00E93A18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5266FA" w:rsidRPr="00E93A18">
        <w:rPr>
          <w:rFonts w:eastAsia="Times New Roman"/>
          <w:color w:val="000000"/>
          <w:sz w:val="24"/>
          <w:szCs w:val="24"/>
          <w:lang w:eastAsia="ru-RU"/>
        </w:rPr>
        <w:t>Эффективность системы управления талантами можно оценить по показателям текучести ключевых сотрудников на ключевых позициях. Если текучесть небольшая, можно считать, что привлечение, удерживание и развитие ключевых сотрудников в компании выстроено правильно.</w:t>
      </w:r>
    </w:p>
    <w:p w:rsidR="00B600C7" w:rsidRPr="00E93A18" w:rsidRDefault="00B600C7" w:rsidP="00E93A18">
      <w:pPr>
        <w:spacing w:after="0"/>
        <w:jc w:val="both"/>
        <w:rPr>
          <w:sz w:val="24"/>
          <w:szCs w:val="24"/>
        </w:rPr>
      </w:pPr>
    </w:p>
    <w:p w:rsidR="00E93A18" w:rsidRPr="00E93A18" w:rsidRDefault="00E93A18" w:rsidP="00E93A18">
      <w:pPr>
        <w:spacing w:after="0"/>
        <w:jc w:val="both"/>
        <w:rPr>
          <w:sz w:val="24"/>
          <w:szCs w:val="24"/>
        </w:rPr>
      </w:pPr>
    </w:p>
    <w:sectPr w:rsidR="00E93A18" w:rsidRPr="00E93A18" w:rsidSect="00B6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FD6"/>
    <w:rsid w:val="00040670"/>
    <w:rsid w:val="00140FD6"/>
    <w:rsid w:val="00430239"/>
    <w:rsid w:val="005266FA"/>
    <w:rsid w:val="00563933"/>
    <w:rsid w:val="008E44EB"/>
    <w:rsid w:val="00A3525F"/>
    <w:rsid w:val="00B600C7"/>
    <w:rsid w:val="00E9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7"/>
  </w:style>
  <w:style w:type="paragraph" w:styleId="1">
    <w:name w:val="heading 1"/>
    <w:basedOn w:val="a"/>
    <w:link w:val="10"/>
    <w:uiPriority w:val="9"/>
    <w:qFormat/>
    <w:rsid w:val="00140FD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FD6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0FD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2399</Words>
  <Characters>13678</Characters>
  <Application>Microsoft Office Word</Application>
  <DocSecurity>0</DocSecurity>
  <Lines>113</Lines>
  <Paragraphs>32</Paragraphs>
  <ScaleCrop>false</ScaleCrop>
  <Company/>
  <LinksUpToDate>false</LinksUpToDate>
  <CharactersWithSpaces>16045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Kab222-2</dc:creator>
  <cp:lastModifiedBy>DIANA</cp:lastModifiedBy>
  <cp:revision>3</cp:revision>
  <dcterms:created xsi:type="dcterms:W3CDTF">2024-07-04T11:11:00Z</dcterms:created>
  <dcterms:modified xsi:type="dcterms:W3CDTF">2024-11-05T09:40:00Z</dcterms:modified>
</cp:coreProperties>
</file>