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79" w:rsidRPr="006C4879" w:rsidRDefault="006C4879" w:rsidP="006C4879">
      <w:pPr>
        <w:pStyle w:val="a3"/>
        <w:rPr>
          <w:rFonts w:ascii="Blackadder ITC" w:hAnsi="Blackadder ITC" w:cs="Arial"/>
          <w:b/>
          <w:i/>
          <w:color w:val="000000"/>
          <w:sz w:val="40"/>
          <w:szCs w:val="40"/>
        </w:rPr>
      </w:pPr>
      <w:r>
        <w:rPr>
          <w:rFonts w:ascii="Blackadder ITC" w:hAnsi="Blackadder ITC" w:cs="Arial"/>
          <w:b/>
          <w:i/>
          <w:color w:val="000000"/>
          <w:sz w:val="32"/>
          <w:szCs w:val="32"/>
        </w:rPr>
        <w:t xml:space="preserve">      </w:t>
      </w:r>
      <w:r w:rsidRPr="006C4879">
        <w:rPr>
          <w:rFonts w:ascii="Blackadder ITC" w:hAnsi="Blackadder ITC" w:cs="Arial"/>
          <w:b/>
          <w:i/>
          <w:color w:val="000000"/>
          <w:sz w:val="32"/>
          <w:szCs w:val="32"/>
        </w:rPr>
        <w:t xml:space="preserve"> </w:t>
      </w:r>
      <w:r w:rsidRPr="006C4879">
        <w:rPr>
          <w:b/>
          <w:i/>
          <w:color w:val="000000"/>
          <w:sz w:val="40"/>
          <w:szCs w:val="40"/>
        </w:rPr>
        <w:t>Учет</w:t>
      </w:r>
      <w:r w:rsidRPr="006C4879">
        <w:rPr>
          <w:rFonts w:ascii="Blackadder ITC" w:hAnsi="Blackadder ITC" w:cs="Arial"/>
          <w:b/>
          <w:i/>
          <w:color w:val="000000"/>
          <w:sz w:val="40"/>
          <w:szCs w:val="40"/>
        </w:rPr>
        <w:t xml:space="preserve"> </w:t>
      </w:r>
      <w:r w:rsidRPr="006C4879">
        <w:rPr>
          <w:b/>
          <w:i/>
          <w:color w:val="000000"/>
          <w:sz w:val="40"/>
          <w:szCs w:val="40"/>
        </w:rPr>
        <w:t>сырья</w:t>
      </w:r>
      <w:r w:rsidRPr="006C4879">
        <w:rPr>
          <w:rFonts w:ascii="Blackadder ITC" w:hAnsi="Blackadder ITC" w:cs="Arial"/>
          <w:b/>
          <w:i/>
          <w:color w:val="000000"/>
          <w:sz w:val="40"/>
          <w:szCs w:val="40"/>
        </w:rPr>
        <w:t xml:space="preserve">, </w:t>
      </w:r>
      <w:r w:rsidRPr="006C4879">
        <w:rPr>
          <w:b/>
          <w:i/>
          <w:color w:val="000000"/>
          <w:sz w:val="40"/>
          <w:szCs w:val="40"/>
        </w:rPr>
        <w:t>продуктов</w:t>
      </w:r>
      <w:r w:rsidRPr="006C4879">
        <w:rPr>
          <w:rFonts w:ascii="Blackadder ITC" w:hAnsi="Blackadder ITC" w:cs="Arial"/>
          <w:b/>
          <w:i/>
          <w:color w:val="000000"/>
          <w:sz w:val="40"/>
          <w:szCs w:val="40"/>
        </w:rPr>
        <w:t xml:space="preserve"> </w:t>
      </w:r>
      <w:r w:rsidRPr="006C4879">
        <w:rPr>
          <w:b/>
          <w:i/>
          <w:color w:val="000000"/>
          <w:sz w:val="40"/>
          <w:szCs w:val="40"/>
        </w:rPr>
        <w:t>и</w:t>
      </w:r>
      <w:r w:rsidRPr="006C4879">
        <w:rPr>
          <w:rFonts w:ascii="Blackadder ITC" w:hAnsi="Blackadder ITC" w:cs="Arial"/>
          <w:b/>
          <w:i/>
          <w:color w:val="000000"/>
          <w:sz w:val="40"/>
          <w:szCs w:val="40"/>
        </w:rPr>
        <w:t xml:space="preserve"> </w:t>
      </w:r>
      <w:r w:rsidRPr="006C4879">
        <w:rPr>
          <w:b/>
          <w:i/>
          <w:color w:val="000000"/>
          <w:sz w:val="40"/>
          <w:szCs w:val="40"/>
        </w:rPr>
        <w:t>тары</w:t>
      </w:r>
      <w:r w:rsidRPr="006C4879">
        <w:rPr>
          <w:rFonts w:ascii="Blackadder ITC" w:hAnsi="Blackadder ITC" w:cs="Arial"/>
          <w:b/>
          <w:i/>
          <w:color w:val="000000"/>
          <w:sz w:val="40"/>
          <w:szCs w:val="40"/>
        </w:rPr>
        <w:t xml:space="preserve"> </w:t>
      </w:r>
      <w:r w:rsidRPr="006C4879">
        <w:rPr>
          <w:b/>
          <w:i/>
          <w:color w:val="000000"/>
          <w:sz w:val="40"/>
          <w:szCs w:val="40"/>
        </w:rPr>
        <w:t>на</w:t>
      </w:r>
      <w:r w:rsidRPr="006C4879">
        <w:rPr>
          <w:rFonts w:ascii="Blackadder ITC" w:hAnsi="Blackadder ITC" w:cs="Arial"/>
          <w:b/>
          <w:i/>
          <w:color w:val="000000"/>
          <w:sz w:val="40"/>
          <w:szCs w:val="40"/>
        </w:rPr>
        <w:t xml:space="preserve"> </w:t>
      </w:r>
      <w:r w:rsidRPr="006C4879">
        <w:rPr>
          <w:b/>
          <w:i/>
          <w:color w:val="000000"/>
          <w:sz w:val="40"/>
          <w:szCs w:val="40"/>
        </w:rPr>
        <w:t>складах</w:t>
      </w:r>
      <w:r w:rsidRPr="006C4879">
        <w:rPr>
          <w:rFonts w:ascii="Blackadder ITC" w:hAnsi="Blackadder ITC" w:cs="Arial"/>
          <w:b/>
          <w:i/>
          <w:color w:val="000000"/>
          <w:sz w:val="40"/>
          <w:szCs w:val="40"/>
        </w:rPr>
        <w:t xml:space="preserve"> </w:t>
      </w:r>
      <w:r>
        <w:rPr>
          <w:rFonts w:asciiTheme="minorHAnsi" w:hAnsiTheme="minorHAnsi" w:cs="Arial"/>
          <w:b/>
          <w:i/>
          <w:color w:val="000000"/>
          <w:sz w:val="40"/>
          <w:szCs w:val="40"/>
        </w:rPr>
        <w:t xml:space="preserve">                            </w:t>
      </w:r>
      <w:r w:rsidRPr="006C4879">
        <w:rPr>
          <w:b/>
          <w:i/>
          <w:color w:val="000000"/>
          <w:sz w:val="40"/>
          <w:szCs w:val="40"/>
        </w:rPr>
        <w:t>предприятий</w:t>
      </w:r>
      <w:r>
        <w:rPr>
          <w:b/>
          <w:i/>
          <w:color w:val="000000"/>
          <w:sz w:val="40"/>
          <w:szCs w:val="40"/>
        </w:rPr>
        <w:t xml:space="preserve"> общественного питания</w:t>
      </w:r>
    </w:p>
    <w:p w:rsidR="006C4879" w:rsidRDefault="006C4879" w:rsidP="006C487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большинстве предприятий общественного питания сырье и товары сначала поступают в кладовую, после чего передаются на производство, в буфеты и другие структурные подразделения.</w:t>
      </w:r>
    </w:p>
    <w:p w:rsidR="006C4879" w:rsidRDefault="006C4879" w:rsidP="006C487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Поступившие сырье и товары передают под материальную ответственность кладовщиков.</w:t>
      </w:r>
    </w:p>
    <w:p w:rsidR="006C4879" w:rsidRDefault="006C4879" w:rsidP="006C487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Документальное оформление и порядок приемки товаров от поставщиков такой же, как и в торговле.</w:t>
      </w:r>
    </w:p>
    <w:p w:rsidR="006C4879" w:rsidRDefault="006C4879" w:rsidP="006C487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получения сырья из кладовой заведующий производством выписывает требование в кладовую (форма N ОП-3), в котором указывает наименование сырья и его количество с учетом потребности в нем на предстоящий день и остатка сырья на производстве на начало дня. После разрешения руководителя организации требование передают в кладовую.</w:t>
      </w:r>
    </w:p>
    <w:p w:rsidR="006C4879" w:rsidRDefault="006C4879" w:rsidP="006C487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требования и фактического отпуска сырья кладовщик выписывает накладную на отпуск товара (форма N ОП-4).</w:t>
      </w:r>
    </w:p>
    <w:p w:rsidR="006C4879" w:rsidRDefault="006C4879" w:rsidP="006C487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Такой же накладной оформляется отпуск товаров в буфеты и другие структурные подразделения.</w:t>
      </w:r>
    </w:p>
    <w:p w:rsidR="006C4879" w:rsidRDefault="006C4879" w:rsidP="006C487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учетные цены на сырье и товары в кладовой отличаются от учетных цен подразделений, получающих ценности, то в накладной указывают оба вида цен и стоимость сырья и товаров по этим ценам.</w:t>
      </w:r>
    </w:p>
    <w:p w:rsidR="00CC0560" w:rsidRDefault="00CC0560"/>
    <w:p w:rsidR="00D93D21" w:rsidRDefault="00D93D21"/>
    <w:p w:rsidR="00D93D21" w:rsidRDefault="00D93D21"/>
    <w:p w:rsidR="00D93D21" w:rsidRDefault="00D93D21"/>
    <w:p w:rsidR="00D93D21" w:rsidRDefault="00D93D21"/>
    <w:p w:rsidR="00D93D21" w:rsidRDefault="00D93D21"/>
    <w:p w:rsidR="00D93D21" w:rsidRDefault="00D93D21"/>
    <w:p w:rsidR="00D93D21" w:rsidRDefault="00D93D21"/>
    <w:p w:rsidR="00D93D21" w:rsidRDefault="00D93D21"/>
    <w:p w:rsidR="00D93D21" w:rsidRDefault="00D93D21"/>
    <w:p w:rsidR="00D93D21" w:rsidRDefault="00D93D21" w:rsidP="00D93D21">
      <w:pPr>
        <w:pStyle w:val="a3"/>
        <w:ind w:firstLine="22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219"/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D93D21">
        <w:rPr>
          <w:rFonts w:ascii="Open Sans" w:hAnsi="Open Sans" w:cs="Open Sans"/>
          <w:b/>
          <w:color w:val="000000"/>
          <w:sz w:val="20"/>
          <w:szCs w:val="20"/>
          <w:u w:val="single"/>
          <w:shd w:val="clear" w:color="auto" w:fill="FFFFFF"/>
        </w:rPr>
        <w:lastRenderedPageBreak/>
        <w:t>Учет запасов на складе ведет материально ответственное лицо</w:t>
      </w:r>
      <w:r w:rsidRPr="00D93D21">
        <w:rPr>
          <w:rFonts w:ascii="Open Sans" w:hAnsi="Open Sans" w:cs="Open Sans"/>
          <w:b/>
          <w:color w:val="000000"/>
          <w:sz w:val="20"/>
          <w:szCs w:val="20"/>
          <w:shd w:val="clear" w:color="auto" w:fill="FFFFFF"/>
        </w:rPr>
        <w:t>,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в данном случае - </w:t>
      </w:r>
      <w:r w:rsidRPr="00D93D21">
        <w:rPr>
          <w:rFonts w:ascii="Open Sans" w:hAnsi="Open Sans" w:cs="Open Sans"/>
          <w:b/>
          <w:color w:val="000000"/>
          <w:sz w:val="20"/>
          <w:szCs w:val="20"/>
          <w:shd w:val="clear" w:color="auto" w:fill="FFFFFF"/>
        </w:rPr>
        <w:t>кладовщик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, которого назначает руководитель. Принятие ответственности за сохранность ценностей, вверенных материально-ответственному лицу, оформляется подписью на документе, по которому материалы передаются ему на хранение. Чаще всего этим документом является договор о полной материальной ответственности.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Складской учет ведется в натуральных показателях по номенклатурным номерам товаров (тары). Порядок учета может быть различен в зависимости от способа хранения товара и от некоторых факторов, как-то: частота поступлений продуктов в кладовую, совместимость товаров по условиям хранения, их натуральные характеристики, а также объем и ассортимент и т. д.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Сырье и товары в кладовых, предназначенные для кулинарной обработки, учитываются в ценах приобретения без добавления торговой наценки. Покупные товары, предназначенные для реализации без кулинарной обработки (винно-водочные и безалкогольные напитки, молоко и молочные продукты, сигареты и др.), учитываются в ценах приобретения с добавлением торговой наценки. Уровень торговых наценок определяется и утверждается самостоятельно субъектом в соответствии с разрабатываемыми организацией прейскурантами и выбранной учетной политикой.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Бухгалтерский учет в кладовых общественного питания ведется по оперативно-бухгалтерскому (сальдовому) методу. Сущность этого метода заключается в том, что в бухгалтерии учет ведут по месту нахождения продуктов, товаров, по материально ответственным лицам суммарно в денежном выражении. Учет продуктов и товаров в кладовых ведут материально ответственные лица (завскладом, кладовщики) по наименованию, сорту, количеству, цене на карточках количественн</w:t>
      </w:r>
      <w:proofErr w:type="gram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суммового учета или в товарных книгах.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На каждое наименование продуктов, товаров по сортам (категориям) открывают отдельную карточку или отводят определенное количество страниц в товарной книге.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Материально ответственное лицо (заведующий складом) получает товарную книгу (карточку) в пронумерованном виде в бухгалтерии под расписку. После того как книги (карточки) полностью использованы, их сдают в бухгалтерию, где они хранятся как регистры аналитического учета наряду с другими бухгалтерскими документами.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Правильность записей, производимых материально ответственным лицом по приходу и расходу ценностей и их </w:t>
      </w:r>
      <w:proofErr w:type="gram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остатках</w:t>
      </w:r>
      <w:proofErr w:type="gram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в товарной книге (карточках), периодически проверяет бухгалтер, о чем делается отметка в специальной графе.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По окончании месяца, квартала, а также на дату инвентаризации, составляется ведомость остатков продуктов, товаров в кладовой для сверки с данными бухгалтерского учета.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Материально ответственные лица кладовых сдают в бухгалтерию документы на поступление и выбытие продуктов (товаров) при сопроводительных реестрах или товарных отчетах в сроки, установленные на предприятии.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При оперативно-бухгалтерском (сальдовом) методе учета материально ответственные лица составляют товарные отчеты.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bookmarkStart w:id="1" w:name="_GoBack"/>
      <w:bookmarkEnd w:id="1"/>
    </w:p>
    <w:p w:rsidR="00D93D21" w:rsidRPr="00D93D21" w:rsidRDefault="00D93D21" w:rsidP="00D93D21">
      <w:pPr>
        <w:pStyle w:val="a3"/>
        <w:ind w:firstLine="225"/>
        <w:rPr>
          <w:rFonts w:ascii="Open Sans" w:hAnsi="Open Sans" w:cs="Open Sans"/>
          <w:b/>
          <w:color w:val="000000"/>
          <w:shd w:val="clear" w:color="auto" w:fill="FFFFFF"/>
        </w:rPr>
      </w:pPr>
      <w:r w:rsidRPr="00D93D21">
        <w:rPr>
          <w:rFonts w:ascii="Open Sans" w:hAnsi="Open Sans" w:cs="Open Sans"/>
          <w:b/>
          <w:color w:val="000000"/>
          <w:shd w:val="clear" w:color="auto" w:fill="FFFFFF"/>
        </w:rPr>
        <w:lastRenderedPageBreak/>
        <w:t>Документирование операций по отпуску сырья и товаров из кладовой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Продукты из кладовых предприятий общественного питания могут быть отпущены в мелкорозничную сеть, в буфеты, а также на производство и т. д. При этом в производство продукты отпускаются ежедневно в пределах потребности для </w:t>
      </w:r>
      <w:proofErr w:type="gram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изготовления</w:t>
      </w:r>
      <w:proofErr w:type="gram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намеченных к выпуску; кулинарные изделий и блюд с учетом имеющихся в наличии остатков продуктов.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На получение продуктов из кладовой заведующий производством составляет требование, в котором указывает: наименование, единицу измерения и количество продуктов. Требование составляется в одном экземпляре, подписывается заведующим производством и утверждается руководителем предприятия общественного питания. На основании требования выписывается накладная на отпуск продуктов из кладовой.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Отпуск продуктов на производство осуществляется на основании требований и оформляется накладными, которые подписываются заведующим производством и утверждаются руководителем предприятия.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В накладной указываются: полное наименование, сорт продуктов и товаров, масса или количество, учетные цены кладовой и цена реализации с добавлением единой наценки, если учет в кладовой ведется без добавления единой наценки, а также, должна быть отметка о номере сертификата-соответствия (или заверенная копия сертификата). Специи и соль отпускаются на производство в той же оценке, как и продукты, так как включаются в себестоимость согласно сборнику рецептур блюд и кулинарных изделий. На производство (кухню) отпускаются только поименованные в накладной продукты и лишь в тех количествах, которые в ней указаны.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Накладные составляются, в двух экземплярах, один вместе с продуктами передается заведующему производством, второй экземпляр кладовщице вместе с товарным отчетом сдает в бухгалтерию.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В накладных на отпуск в буфеты какао, чая, натурального кофе, сахара указываются учетные цены, кладовой, а также учетные цены, исчисленные исходя из скалькулированной цены стакана чая, какао и норм закладки.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На практике может применяться комбинированный документ - требование-накладная, в котором соединены распоряжение и оправдательный расходный документ (графа «Отпущено»). Такой документ обычно применяется в тех случаях, когда при выписке документов не используются средства механизации.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Таким образом, отпуск продуктов и товаров из кладовой осуществляется на основании требований и накладных. При отпуске продуктов и товаров из кладовой на производство, в буфет, мелкорозничную сеть и другие пункты выписывают накладные, в которых они оцениваются в двух ценах: по себестоимости (стоимости приобретения или учетной цене), для списания с подотчета кладовщика, и по продажным ценам (с учетом наценки).</w:t>
      </w:r>
    </w:p>
    <w:p w:rsidR="00D93D21" w:rsidRDefault="00D93D21" w:rsidP="00D93D21">
      <w:pPr>
        <w:pStyle w:val="a3"/>
        <w:ind w:firstLine="225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При приемке продуктов из кладовой заведующий производством и другие материально ответственные лица проверяют их количество, качество, соответствие кондиции, по которым рассчитаны нормы вложения сырья при калькуляции. Поступившее в производство сырье находится под отчетом у заведующего производством, его заместителя или заведующих цехами, которые несут полную материальную ответственность за его сохранность и рациональное использование.</w:t>
      </w:r>
    </w:p>
    <w:bookmarkEnd w:id="0"/>
    <w:p w:rsidR="00D93D21" w:rsidRDefault="00D93D21"/>
    <w:sectPr w:rsidR="00D9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EA"/>
    <w:rsid w:val="006C4879"/>
    <w:rsid w:val="007B07EA"/>
    <w:rsid w:val="00CC0560"/>
    <w:rsid w:val="00D9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2018-09-20T04:47:00Z</dcterms:created>
  <dcterms:modified xsi:type="dcterms:W3CDTF">2018-09-20T05:05:00Z</dcterms:modified>
</cp:coreProperties>
</file>