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B0" w:rsidRDefault="00AE68B0" w:rsidP="00AE68B0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ПЕДАГОГИКА И МЕТОДИКА НАЧАЛЬНОГО ОБРАЗОВАНИЯ</w:t>
      </w:r>
    </w:p>
    <w:p w:rsidR="00AE68B0" w:rsidRPr="00AE68B0" w:rsidRDefault="00AE68B0" w:rsidP="00AE68B0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E68B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 аттестация</w:t>
      </w:r>
    </w:p>
    <w:p w:rsidR="00AE68B0" w:rsidRPr="00AE68B0" w:rsidRDefault="00AE68B0" w:rsidP="00AE68B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Освоение программы завершается итоговой аттестацией. </w:t>
      </w: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Итоговая аттестация осуществляется в форме междисциплинарного экзамена.</w:t>
      </w:r>
    </w:p>
    <w:p w:rsidR="00AE68B0" w:rsidRPr="00AE68B0" w:rsidRDefault="00AE68B0" w:rsidP="00AE68B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AE68B0" w:rsidRPr="00AE68B0" w:rsidRDefault="00AE68B0" w:rsidP="00AE68B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 и 2 – теоретические,</w:t>
      </w:r>
    </w:p>
    <w:p w:rsidR="00AE68B0" w:rsidRPr="00AE68B0" w:rsidRDefault="00AE68B0" w:rsidP="00AE68B0">
      <w:pPr>
        <w:widowControl w:val="0"/>
        <w:autoSpaceDE w:val="0"/>
        <w:autoSpaceDN w:val="0"/>
        <w:adjustRightInd w:val="0"/>
        <w:spacing w:before="47"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3- практический.</w:t>
      </w:r>
    </w:p>
    <w:p w:rsidR="00AE68B0" w:rsidRPr="00AE68B0" w:rsidRDefault="00AE68B0" w:rsidP="00AE68B0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Теоретические вопросы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Значение мотивации достижения успеха в процессе педагогического взаимодействия.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Основные приемы и виды упражнений с использованием дидактического материала на уроках русского языка.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Требования к содержанию и уровню подготовки младших школьников. 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Учебная деятельность младшего школьника в процессе обучения математике как средство формирования у учащихся универсальных учебных действий.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Наблюдения как метод обучения. Роль наблюдений в становлении целостного взгляда у младших школьников на окружающий мир. 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Средства обучения, их классификация.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Урок – основная форма организации учебного процесса. </w:t>
      </w:r>
      <w:r w:rsidRPr="00AE68B0">
        <w:rPr>
          <w:rFonts w:ascii="Times New Roman" w:eastAsia="Times New Roman" w:hAnsi="Times New Roman" w:cs="Times New Roman"/>
          <w:sz w:val="24"/>
          <w:szCs w:val="24"/>
          <w:lang w:val="en-US"/>
        </w:rPr>
        <w:t>Классификации типов уроков.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Современные технологии обучения младших школьников начальному естествознанию.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Понятие об экскурсии как организованной форме обучения детей 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Жанры изобразительного искусства и охарактеризовать каждый из них. 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Безопасность учащихся на занятиях изобразительным искусством и технологии.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Роль и место физической культуры и спорта в формировании здорового образа жизни и стиля жизни.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Воспитательные возможности урока физической культуры в начальной школе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Общая характеристика урока музыки как урока искусства.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720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Понятия «метод», «подход», «способ обучения», «прием обучения»?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Стили педагогического общения, особенности их применения.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Пути разрешения конфликтов в педагогической деятельности.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Функции работы классного руководителя.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Игровые технологии, как организация детского досуга.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Особенности компетентностно-ориентированного обучения в начальных классах.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Методика преподавания русского языка как наука.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представления о числе как результате измерения величин. 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Методика формирования вычислительных навыков у учащихся начальных классов.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Методика формирования понятия величины и ее измерения в начальном курсе математики.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Этапы решения задач арифметическим способом, назвать и </w:t>
      </w:r>
      <w:r w:rsidRPr="00AE68B0">
        <w:rPr>
          <w:rFonts w:ascii="Times New Roman" w:eastAsia="Times New Roman" w:hAnsi="Times New Roman" w:cs="Times New Roman"/>
          <w:sz w:val="24"/>
          <w:szCs w:val="24"/>
        </w:rPr>
        <w:lastRenderedPageBreak/>
        <w:t>проиллюстрировать на конкретном примере.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по математике в начальной школе.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Методика становления основ экологической культуры младших школьников.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Формы организации обучения естествознанию в начальной школе. </w:t>
      </w:r>
      <w:r w:rsidRPr="00AE68B0">
        <w:rPr>
          <w:rFonts w:ascii="Times New Roman" w:eastAsia="Times New Roman" w:hAnsi="Times New Roman" w:cs="Times New Roman"/>
          <w:sz w:val="24"/>
          <w:szCs w:val="24"/>
          <w:lang w:val="en-US"/>
        </w:rPr>
        <w:t>Классификация форм обучения.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проведения наблюдений над природой. Роль наблюдений в формировании целостного взгляда на окружающий мир. 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Формы занятий физическими упражнениями в режиме дня и их влияние на здоровье.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Преемственность образовательных программ дошкольного и начального общего образования.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Охарактеризуйте методику и организационные формы внеурочной работы.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Раскройте структуру проекта, его особенности.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Планирование и организация методической работы учителя начальных классов.</w:t>
      </w: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Организация ученического коллектива и воспитание личности в коллективе.</w:t>
      </w: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 Перечислите структурные компоненты программы внеурочной работы с младшими школьниками. </w:t>
      </w:r>
      <w:r w:rsidRPr="00AE68B0">
        <w:rPr>
          <w:rFonts w:ascii="Times New Roman" w:eastAsia="Times New Roman" w:hAnsi="Times New Roman" w:cs="Times New Roman"/>
          <w:sz w:val="24"/>
          <w:szCs w:val="24"/>
          <w:lang w:val="en-US"/>
        </w:rPr>
        <w:t>Охарактеризуйте формы внеклассной музыкальной работы со школьниками.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Практические проекты по изготовлению моделей для уроков по окружающему миру, математики, для внеурочной игровой деятельности и т.п.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Специфика предметно-развивающей среды в кабинете начального обучения.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Диагностика обучаемости. 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Особенности планирования и проведения коррекционно-развивающей работы с обучающимися, имеющими трудности в обучении.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Анализ курса «Окружающий мир» в образовательной системе «Школа России» (Плешаков А. А.).</w:t>
      </w:r>
    </w:p>
    <w:p w:rsidR="00AE68B0" w:rsidRPr="00AE68B0" w:rsidRDefault="00AE68B0" w:rsidP="00AE68B0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кадров как условие обобщения, представления и распространения педагогического опыта.</w:t>
      </w:r>
    </w:p>
    <w:p w:rsidR="00AE68B0" w:rsidRPr="00AE68B0" w:rsidRDefault="00AE68B0" w:rsidP="00AE68B0">
      <w:pPr>
        <w:widowControl w:val="0"/>
        <w:tabs>
          <w:tab w:val="left" w:pos="1134"/>
        </w:tabs>
        <w:autoSpaceDE w:val="0"/>
        <w:autoSpaceDN w:val="0"/>
        <w:spacing w:before="47"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8B0" w:rsidRPr="00AE68B0" w:rsidRDefault="00AE68B0" w:rsidP="00AE68B0">
      <w:pPr>
        <w:widowControl w:val="0"/>
        <w:tabs>
          <w:tab w:val="left" w:pos="1134"/>
        </w:tabs>
        <w:autoSpaceDE w:val="0"/>
        <w:autoSpaceDN w:val="0"/>
        <w:spacing w:before="47"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E68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Перечень практических заданий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прочности усвоения знаний, умений и навыков в сочетании с опытом творческой деятельности на уроках русского языка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наглядности на уроках математики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сознательности на уроках музыки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связи теории с практикой овладения знаниями на уроках изобразительного искусства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дидактических принципов сознательности и активности на уроках физической культуры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художественного и технического единства на уроках музыки (фрагмент из теоретического или практического урока обучения)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Приведите примеры возможности применения принципа последовательности наглядности на уроках технологии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дидактических принципов наглядности и доступности на уроках физической культуры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 фрагмента урока по предмету «Окружающий мир», на котором была использована работа с заданиями на выявление общих признаков (найди «лишнее»).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методов обучения: беседы и рассказа на уроках «Окружающего мира»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прочности на уроках математики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наглядности, разнообразия методов на уроках русского языка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дидактических принципов сознательности и активности на уроках физической культуры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художественного и технического единства на уроках музыки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сознательности на уроках музыки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принципов систематичности и доступности на уроках «Окружающего мира»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последовательности наглядности на уроках технологии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последовательности, систематичности на уроках изобразительного искусства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дидактических принципов сознательности и активности на уроках физической культуры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Cs/>
          <w:sz w:val="24"/>
          <w:szCs w:val="24"/>
        </w:rPr>
        <w:t>Приведите примеры возможности применения принципа наглядности на уроках математики (фрагмент из теоретического или практического урока обучения).</w:t>
      </w:r>
    </w:p>
    <w:p w:rsidR="00AE68B0" w:rsidRPr="00AE68B0" w:rsidRDefault="00AE68B0" w:rsidP="00AE68B0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8B0" w:rsidRPr="00AE68B0" w:rsidRDefault="00AE68B0" w:rsidP="00AE68B0">
      <w:pPr>
        <w:widowControl w:val="0"/>
        <w:autoSpaceDE w:val="0"/>
        <w:autoSpaceDN w:val="0"/>
        <w:spacing w:after="0" w:line="276" w:lineRule="auto"/>
        <w:ind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итоговой аттестации</w:t>
      </w:r>
    </w:p>
    <w:p w:rsidR="00AE68B0" w:rsidRPr="00AE68B0" w:rsidRDefault="00AE68B0" w:rsidP="00AE68B0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8B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ответа на вопросы билета и выполнения практического задания выставляется оценка от «неудовлетворительно» до «отлично». </w:t>
      </w:r>
    </w:p>
    <w:p w:rsidR="00AE68B0" w:rsidRPr="00AE68B0" w:rsidRDefault="00AE68B0" w:rsidP="00AE68B0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2552"/>
      </w:tblGrid>
      <w:tr w:rsidR="00AE68B0" w:rsidRPr="00AE68B0" w:rsidTr="008D1B81">
        <w:trPr>
          <w:trHeight w:val="275"/>
        </w:trPr>
        <w:tc>
          <w:tcPr>
            <w:tcW w:w="7371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E68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Критерии оценивания (по количеству </w:t>
            </w:r>
            <w:r w:rsidRPr="00AE68B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баллов)</w:t>
            </w:r>
          </w:p>
        </w:tc>
        <w:tc>
          <w:tcPr>
            <w:tcW w:w="2552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AE68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Результат</w:t>
            </w:r>
          </w:p>
        </w:tc>
      </w:tr>
      <w:tr w:rsidR="00AE68B0" w:rsidRPr="00AE68B0" w:rsidTr="008D1B81">
        <w:trPr>
          <w:trHeight w:val="1367"/>
        </w:trPr>
        <w:tc>
          <w:tcPr>
            <w:tcW w:w="7371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ind w:left="284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AE68B0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Слушатель свободно владеет теоретическим материалом, демонстрирует понимание междисциплинарных связей, может характеризовать теоретические аспекты на основе практических примеров, ответ отличается </w:t>
            </w:r>
            <w:r w:rsidRPr="00AE68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профессиональной </w:t>
            </w:r>
            <w:r w:rsidRPr="00AE68B0">
              <w:rPr>
                <w:rFonts w:ascii="Times New Roman" w:eastAsia="Times New Roman" w:hAnsi="Times New Roman" w:cs="Times New Roman"/>
                <w:sz w:val="24"/>
              </w:rPr>
              <w:t xml:space="preserve">культурой, даны полные и верные ответы на </w:t>
            </w:r>
            <w:r w:rsidRPr="00AE68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дополнительные </w:t>
            </w:r>
            <w:r w:rsidRPr="00AE68B0">
              <w:rPr>
                <w:rFonts w:ascii="Times New Roman" w:eastAsia="Times New Roman" w:hAnsi="Times New Roman" w:cs="Times New Roman"/>
                <w:sz w:val="24"/>
              </w:rPr>
              <w:t xml:space="preserve">вопросы, практическое задание выполнено </w:t>
            </w:r>
            <w:r w:rsidRPr="00AE68B0">
              <w:rPr>
                <w:rFonts w:ascii="Times New Roman" w:eastAsia="Times New Roman" w:hAnsi="Times New Roman" w:cs="Times New Roman"/>
                <w:spacing w:val="-4"/>
                <w:sz w:val="24"/>
              </w:rPr>
              <w:t>верно</w:t>
            </w:r>
          </w:p>
        </w:tc>
        <w:tc>
          <w:tcPr>
            <w:tcW w:w="2552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E68B0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Отлично</w:t>
            </w:r>
          </w:p>
        </w:tc>
      </w:tr>
      <w:tr w:rsidR="00AE68B0" w:rsidRPr="00AE68B0" w:rsidTr="008D1B81">
        <w:trPr>
          <w:trHeight w:val="1402"/>
        </w:trPr>
        <w:tc>
          <w:tcPr>
            <w:tcW w:w="7371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ind w:left="284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AE68B0">
              <w:rPr>
                <w:rFonts w:ascii="Times New Roman" w:eastAsia="Times New Roman" w:hAnsi="Times New Roman" w:cs="Times New Roman"/>
                <w:sz w:val="24"/>
              </w:rPr>
              <w:t>Слушатель владеет теоретическим материалом, ответ логичен, изложение теоретического материала сопровождается практическими примерами, имеются отдельные негрубые ошибки, при ответе на дополнительные вопросы допущены небольшие неточности, практическое задание выполнено с незначительными ошибками</w:t>
            </w:r>
          </w:p>
        </w:tc>
        <w:tc>
          <w:tcPr>
            <w:tcW w:w="2552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E68B0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Хорошо</w:t>
            </w:r>
          </w:p>
        </w:tc>
      </w:tr>
      <w:tr w:rsidR="00AE68B0" w:rsidRPr="00AE68B0" w:rsidTr="008D1B81">
        <w:trPr>
          <w:trHeight w:val="1988"/>
        </w:trPr>
        <w:tc>
          <w:tcPr>
            <w:tcW w:w="7371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ind w:left="284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AE68B0">
              <w:rPr>
                <w:rFonts w:ascii="Times New Roman" w:eastAsia="Times New Roman" w:hAnsi="Times New Roman" w:cs="Times New Roman"/>
                <w:sz w:val="24"/>
              </w:rPr>
              <w:t xml:space="preserve">Слушатель владеет теоретическим материалом, но в изложении отсутствует логика, имеются существенные неточности,отсутствуют практические примеры к излагаемым теоретическим вопросам, при ответе на дополнительные вопросы допущены неточности. Практическое задание </w:t>
            </w:r>
            <w:r w:rsidRPr="00AE68B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r w:rsidRPr="00AE68B0">
              <w:rPr>
                <w:rFonts w:ascii="Times New Roman" w:eastAsia="Times New Roman" w:hAnsi="Times New Roman" w:cs="Times New Roman"/>
                <w:sz w:val="24"/>
              </w:rPr>
              <w:t xml:space="preserve">целом выполнено, но вызывало затруднения при выполнении, допущены ошибки, имеющие значение для дальнейшей профессиональной деятельности </w:t>
            </w:r>
          </w:p>
        </w:tc>
        <w:tc>
          <w:tcPr>
            <w:tcW w:w="2552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E68B0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Удовлетворительно</w:t>
            </w:r>
          </w:p>
        </w:tc>
      </w:tr>
      <w:tr w:rsidR="00AE68B0" w:rsidRPr="00AE68B0" w:rsidTr="008D1B81">
        <w:trPr>
          <w:trHeight w:val="1658"/>
        </w:trPr>
        <w:tc>
          <w:tcPr>
            <w:tcW w:w="7371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ind w:left="284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AE68B0">
              <w:rPr>
                <w:rFonts w:ascii="Times New Roman" w:eastAsia="Times New Roman" w:hAnsi="Times New Roman" w:cs="Times New Roman"/>
                <w:sz w:val="24"/>
              </w:rPr>
              <w:t>Слушатель не владеет теоретическим материалом или неверно определяет основные профессиональные понятия, не даны ответы на дополнительные вопросы. Практическое задание не выполнено или выполнено с серьезными ошибками, в результате которых будут приняты неверные решения в дальнейшей профессиональной деятельности</w:t>
            </w:r>
          </w:p>
        </w:tc>
        <w:tc>
          <w:tcPr>
            <w:tcW w:w="2552" w:type="dxa"/>
          </w:tcPr>
          <w:p w:rsidR="00AE68B0" w:rsidRPr="00AE68B0" w:rsidRDefault="00AE68B0" w:rsidP="00AE68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E68B0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Неудовлетворительно</w:t>
            </w:r>
          </w:p>
        </w:tc>
      </w:tr>
    </w:tbl>
    <w:p w:rsidR="00AE68B0" w:rsidRPr="00AE68B0" w:rsidRDefault="00AE68B0" w:rsidP="00AE68B0">
      <w:pPr>
        <w:widowControl w:val="0"/>
        <w:tabs>
          <w:tab w:val="left" w:pos="406"/>
          <w:tab w:val="left" w:pos="851"/>
          <w:tab w:val="left" w:pos="1134"/>
        </w:tabs>
        <w:suppressAutoHyphens/>
        <w:autoSpaceDE w:val="0"/>
        <w:autoSpaceDN w:val="0"/>
        <w:spacing w:before="47" w:after="0" w:line="276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68B0" w:rsidRPr="00AE68B0" w:rsidRDefault="00AE68B0" w:rsidP="00AE68B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AE68B0" w:rsidRPr="00AE68B0" w:rsidRDefault="00AE68B0" w:rsidP="00AE68B0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Times New Roman" w:cs="Times New Roman"/>
          <w:b/>
          <w:sz w:val="19"/>
          <w:szCs w:val="28"/>
          <w:lang w:val="en-US"/>
        </w:rPr>
      </w:pPr>
    </w:p>
    <w:p w:rsidR="00491DA1" w:rsidRDefault="00AE68B0"/>
    <w:sectPr w:rsidR="00491DA1" w:rsidSect="00FF4AAE">
      <w:pgSz w:w="11910" w:h="16840"/>
      <w:pgMar w:top="851" w:right="567" w:bottom="1134" w:left="1418" w:header="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32E58"/>
    <w:multiLevelType w:val="hybridMultilevel"/>
    <w:tmpl w:val="3EB05576"/>
    <w:lvl w:ilvl="0" w:tplc="888C09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F641F"/>
    <w:multiLevelType w:val="hybridMultilevel"/>
    <w:tmpl w:val="53207622"/>
    <w:lvl w:ilvl="0" w:tplc="675A4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3A6864" w:tentative="1">
      <w:start w:val="1"/>
      <w:numFmt w:val="lowerLetter"/>
      <w:lvlText w:val="%2."/>
      <w:lvlJc w:val="left"/>
      <w:pPr>
        <w:ind w:left="1440" w:hanging="360"/>
      </w:pPr>
    </w:lvl>
    <w:lvl w:ilvl="2" w:tplc="4F54A754" w:tentative="1">
      <w:start w:val="1"/>
      <w:numFmt w:val="lowerRoman"/>
      <w:lvlText w:val="%3."/>
      <w:lvlJc w:val="right"/>
      <w:pPr>
        <w:ind w:left="2160" w:hanging="180"/>
      </w:pPr>
    </w:lvl>
    <w:lvl w:ilvl="3" w:tplc="CA580C8C" w:tentative="1">
      <w:start w:val="1"/>
      <w:numFmt w:val="decimal"/>
      <w:lvlText w:val="%4."/>
      <w:lvlJc w:val="left"/>
      <w:pPr>
        <w:ind w:left="2880" w:hanging="360"/>
      </w:pPr>
    </w:lvl>
    <w:lvl w:ilvl="4" w:tplc="DA48B0CC" w:tentative="1">
      <w:start w:val="1"/>
      <w:numFmt w:val="lowerLetter"/>
      <w:lvlText w:val="%5."/>
      <w:lvlJc w:val="left"/>
      <w:pPr>
        <w:ind w:left="3600" w:hanging="360"/>
      </w:pPr>
    </w:lvl>
    <w:lvl w:ilvl="5" w:tplc="F8B24E78" w:tentative="1">
      <w:start w:val="1"/>
      <w:numFmt w:val="lowerRoman"/>
      <w:lvlText w:val="%6."/>
      <w:lvlJc w:val="right"/>
      <w:pPr>
        <w:ind w:left="4320" w:hanging="180"/>
      </w:pPr>
    </w:lvl>
    <w:lvl w:ilvl="6" w:tplc="A3A8FD84" w:tentative="1">
      <w:start w:val="1"/>
      <w:numFmt w:val="decimal"/>
      <w:lvlText w:val="%7."/>
      <w:lvlJc w:val="left"/>
      <w:pPr>
        <w:ind w:left="5040" w:hanging="360"/>
      </w:pPr>
    </w:lvl>
    <w:lvl w:ilvl="7" w:tplc="5D3065C6" w:tentative="1">
      <w:start w:val="1"/>
      <w:numFmt w:val="lowerLetter"/>
      <w:lvlText w:val="%8."/>
      <w:lvlJc w:val="left"/>
      <w:pPr>
        <w:ind w:left="5760" w:hanging="360"/>
      </w:pPr>
    </w:lvl>
    <w:lvl w:ilvl="8" w:tplc="D75678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85"/>
    <w:rsid w:val="00370785"/>
    <w:rsid w:val="00821178"/>
    <w:rsid w:val="00AE68B0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76227-CCF3-4CDB-A999-CDFC921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1301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2025-04-24T06:23:00Z</dcterms:created>
  <dcterms:modified xsi:type="dcterms:W3CDTF">2025-04-24T06:24:00Z</dcterms:modified>
</cp:coreProperties>
</file>