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76D8" w:rsidRPr="006A76D8" w:rsidRDefault="006A76D8" w:rsidP="006A76D8">
      <w:pPr>
        <w:shd w:val="clear" w:color="auto" w:fill="FFFFFF"/>
        <w:spacing w:after="133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3"/>
          <w:szCs w:val="33"/>
          <w:lang w:eastAsia="ru-RU"/>
        </w:rPr>
      </w:pPr>
      <w:r w:rsidRPr="006A76D8">
        <w:rPr>
          <w:rFonts w:ascii="Times New Roman" w:eastAsia="Times New Roman" w:hAnsi="Times New Roman" w:cs="Times New Roman"/>
          <w:b/>
          <w:bCs/>
          <w:color w:val="000000"/>
          <w:sz w:val="33"/>
          <w:szCs w:val="33"/>
          <w:lang w:eastAsia="ru-RU"/>
        </w:rPr>
        <w:t>Как правильно оформить реферат?</w:t>
      </w:r>
    </w:p>
    <w:p w:rsidR="006A76D8" w:rsidRPr="006A76D8" w:rsidRDefault="006A76D8" w:rsidP="006A76D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76D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Используйте</w:t>
      </w:r>
      <w:r w:rsidRPr="006A76D8">
        <w:rPr>
          <w:rFonts w:ascii="Times New Roman" w:eastAsia="Times New Roman" w:hAnsi="Times New Roman" w:cs="Times New Roman"/>
          <w:color w:val="333333"/>
          <w:sz w:val="21"/>
          <w:szCs w:val="21"/>
          <w:lang w:val="en-US" w:eastAsia="ru-RU"/>
        </w:rPr>
        <w:t xml:space="preserve"> </w:t>
      </w:r>
      <w:r w:rsidRPr="006A76D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шрифт</w:t>
      </w:r>
      <w:r w:rsidRPr="006A76D8">
        <w:rPr>
          <w:rFonts w:ascii="Times New Roman" w:eastAsia="Times New Roman" w:hAnsi="Times New Roman" w:cs="Times New Roman"/>
          <w:color w:val="333333"/>
          <w:sz w:val="21"/>
          <w:szCs w:val="21"/>
          <w:lang w:val="en-US" w:eastAsia="ru-RU"/>
        </w:rPr>
        <w:t xml:space="preserve"> Times New Roman. </w:t>
      </w:r>
      <w:r w:rsidRPr="006A76D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В ГОСТе это не прописано, но практика уже установившаяся.</w:t>
      </w:r>
    </w:p>
    <w:p w:rsidR="006A76D8" w:rsidRPr="006A76D8" w:rsidRDefault="006A76D8" w:rsidP="006A76D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76D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Традиционно используется кегль 14-й, иногда 12-й. Этот момент лучше уточнить у преподавателя. Как правило, для учебных работ выбирается 14-й, но если объём реферата большой, есть смысл выбрать кегль чуть меньше. А вот больший – нельзя, так как преподаватель сразу поймёт, что вы визуально раздуваете объём.</w:t>
      </w:r>
    </w:p>
    <w:p w:rsidR="006A76D8" w:rsidRPr="006A76D8" w:rsidRDefault="006A76D8" w:rsidP="006A76D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76D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Межстрочный интервал – полуторный. Больший интервал, опять же, говорит о попытке смухлевать с объёмом.</w:t>
      </w:r>
    </w:p>
    <w:p w:rsidR="006A76D8" w:rsidRPr="006A76D8" w:rsidRDefault="006A76D8" w:rsidP="006A76D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76D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Ориентация листа – книжная. Альбомная иногда допускается при оформлении приложений (например, широких таблиц).</w:t>
      </w:r>
    </w:p>
    <w:p w:rsidR="006A76D8" w:rsidRPr="006A76D8" w:rsidRDefault="006A76D8" w:rsidP="006A76D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76D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Поля: 1,5 см для верхнего, 3 см для нижнего, 1,5 см для правого и 2,5 см для левого (1 см – запас для подшивки листов). Увеличение полей иногда используется студентами для увеличения числа листов, но эта практика может привести к неприятностям, особенно если вы совсем обнаглели и выставили в настройках 3 – 3 – 3 – 4.</w:t>
      </w:r>
    </w:p>
    <w:p w:rsidR="006A76D8" w:rsidRPr="006A76D8" w:rsidRDefault="006A76D8" w:rsidP="006A76D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76D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Листы форма А4, плотность – стандартная для распечатки принтером, цвет белый.</w:t>
      </w:r>
    </w:p>
    <w:p w:rsidR="006A76D8" w:rsidRPr="006A76D8" w:rsidRDefault="006A76D8" w:rsidP="006A76D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76D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Текст печатается только на одной стороне листа. Оборотная должна остаться чистой. Кстати, распространённая ошибка среди новичков, часто пишущих с обеих сторон, как в тетрадке.</w:t>
      </w:r>
    </w:p>
    <w:p w:rsidR="006A76D8" w:rsidRPr="006A76D8" w:rsidRDefault="006A76D8" w:rsidP="006A76D8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76D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Нумерация (арабскими цифрами) проставляется с третьего листа (с введения). 1-й и 2-й листы (титульный и содержание), согласно ГОСТу, не нумеруются, но учитываются в подсчёте. Проще говоря, на первых двух листах внизу цифр нет, на листе с введение – уже ставится «3». Приложения не нумеруются.</w:t>
      </w:r>
    </w:p>
    <w:p w:rsidR="006A76D8" w:rsidRPr="006A76D8" w:rsidRDefault="006A76D8" w:rsidP="006A76D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76D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Титульный лист состоит из следующих частей:</w:t>
      </w:r>
    </w:p>
    <w:p w:rsidR="006A76D8" w:rsidRPr="006A76D8" w:rsidRDefault="006A76D8" w:rsidP="006A76D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76D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— Шапка с полным наименованием учебного заведения (вуза, колледжа, школы и т. д.), названием факультета и кафедры, а также и фразой «Министерство образования и науки Российской Федерации» (её при оформлении титульного листа реферата иногда исключают). Форматирование – по центру.</w:t>
      </w:r>
    </w:p>
    <w:p w:rsidR="006A76D8" w:rsidRPr="006A76D8" w:rsidRDefault="006A76D8" w:rsidP="006A76D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76D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— Надпись «РЕФЕРАТ» с названием работы и указанием дисциплины. Форматирование по центру. Иногда название указывается просто, без кавычек, иногда вписывается в формулу … </w:t>
      </w:r>
      <w:r w:rsidRPr="006A76D8">
        <w:rPr>
          <w:rFonts w:ascii="Times New Roman" w:eastAsia="Times New Roman" w:hAnsi="Times New Roman" w:cs="Times New Roman"/>
          <w:i/>
          <w:iCs/>
          <w:color w:val="333333"/>
          <w:sz w:val="21"/>
          <w:lang w:eastAsia="ru-RU"/>
        </w:rPr>
        <w:t>на тему «Ν»… </w:t>
      </w:r>
      <w:r w:rsidRPr="006A76D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(то же самое с указанием дисциплины; конкретные требования уточняйте на кафедре). Форматирование по центру, расположение – примерно посередине листа (или чуть-чуть выше).</w:t>
      </w:r>
    </w:p>
    <w:p w:rsidR="006A76D8" w:rsidRPr="006A76D8" w:rsidRDefault="006A76D8" w:rsidP="006A76D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76D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— Данные об авторе (ФИО, курс, иногда группа или отделение) и научном руководителе (ФИО, должность, научная степень – или в формате «д. и. н.», «к. м. н.», или развёрнуто, уточняйте в методичке). Этот блок располагается на 7 – 9 интервалов ниже предыдущего. Обратите внимание на то, что блок располагается справа, но первые буквы строк выстроены в одну линию – добиться такого расположения можно, используя клавишу </w:t>
      </w:r>
      <w:proofErr w:type="spellStart"/>
      <w:r w:rsidRPr="006A76D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Tab</w:t>
      </w:r>
      <w:proofErr w:type="spellEnd"/>
      <w:r w:rsidRPr="006A76D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.</w:t>
      </w:r>
    </w:p>
    <w:p w:rsidR="006A76D8" w:rsidRPr="006A76D8" w:rsidRDefault="006A76D8" w:rsidP="006A76D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76D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— Заключительный блок с информацией о городе, в котором находится учебное заведение, и годе написания работы. Располагается в самом низу листа, форматирование по центру.</w:t>
      </w:r>
    </w:p>
    <w:p w:rsidR="006A76D8" w:rsidRPr="006A76D8" w:rsidRDefault="006A76D8" w:rsidP="006A76D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76D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Основной кегль при оформлении титульного листа – 14, но слово «РЕФЕРАТ» и название темы обычно набираются более крупным.</w:t>
      </w:r>
    </w:p>
    <w:p w:rsidR="006A76D8" w:rsidRPr="006A76D8" w:rsidRDefault="006A76D8" w:rsidP="006A76D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76D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Образец оформления титульного листа для реферата:</w:t>
      </w:r>
    </w:p>
    <w:p w:rsidR="006A76D8" w:rsidRPr="006A76D8" w:rsidRDefault="006A76D8" w:rsidP="006A76D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1"/>
          <w:szCs w:val="21"/>
          <w:lang w:eastAsia="ru-RU"/>
        </w:rPr>
        <w:lastRenderedPageBreak/>
        <w:drawing>
          <wp:inline distT="0" distB="0" distL="0" distR="0">
            <wp:extent cx="3750945" cy="5173345"/>
            <wp:effectExtent l="19050" t="0" r="1905" b="0"/>
            <wp:docPr id="1" name="Рисунок 1" descr="образец оформления титульного лис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бразец оформления титульного листа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0945" cy="5173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76D8" w:rsidRPr="006A76D8" w:rsidRDefault="006A76D8" w:rsidP="006A76D8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76D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Содержание располагается на 2-м листе и включает в себя наименования всех частей (введения, глав и параграфов основной части, заключения, списка литературы (иногда с выделением списка источников), приложений).</w:t>
      </w:r>
    </w:p>
    <w:p w:rsidR="006A76D8" w:rsidRPr="006A76D8" w:rsidRDefault="006A76D8" w:rsidP="006A76D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76D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Для каждого из элементов, кроме приложений, указывается номер страницы. Приложения не нумеруются, так как могут представлять собой не только листы, но и папки с материалами, диски и т. д.</w:t>
      </w:r>
    </w:p>
    <w:p w:rsidR="006A76D8" w:rsidRPr="006A76D8" w:rsidRDefault="006A76D8" w:rsidP="006A76D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76D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В верхней части листа пишется: «СОДЕРЖАНИЕ» (без кавычек, верхним регистром). Далее следует информация об элементах работы с форматированием по левому краю, но страницы указываются напротив, с форматированием по левому (используйте клавишу TAB).</w:t>
      </w:r>
    </w:p>
    <w:p w:rsidR="006A76D8" w:rsidRPr="006A76D8" w:rsidRDefault="006A76D8" w:rsidP="006A76D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76D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Образец оформления содержания:</w:t>
      </w:r>
    </w:p>
    <w:p w:rsidR="006A76D8" w:rsidRPr="006A76D8" w:rsidRDefault="006A76D8" w:rsidP="006A76D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noProof/>
          <w:color w:val="333333"/>
          <w:sz w:val="21"/>
          <w:szCs w:val="21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3810</wp:posOffset>
            </wp:positionV>
            <wp:extent cx="7620000" cy="3403600"/>
            <wp:effectExtent l="0" t="0" r="0" b="0"/>
            <wp:wrapSquare wrapText="bothSides"/>
            <wp:docPr id="2" name="Рисунок 2" descr="Содержа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одержание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340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p w:rsidR="006A76D8" w:rsidRPr="006A76D8" w:rsidRDefault="006A76D8" w:rsidP="006A76D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76D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Начинает работу введение. Как правило, все учебные рефераты содержат эту часть, аналогичной курсовым и дипломам.</w:t>
      </w:r>
    </w:p>
    <w:p w:rsidR="006A76D8" w:rsidRPr="006A76D8" w:rsidRDefault="006A76D8" w:rsidP="006A76D8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76D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Основная часть реферата делится (за редкими исключениями) на главы. Иногда внутри глав выделяются параграфы (или пункты).</w:t>
      </w:r>
    </w:p>
    <w:p w:rsidR="006A76D8" w:rsidRPr="006A76D8" w:rsidRDefault="006A76D8" w:rsidP="006A76D8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76D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Главы начинаются с нового листа. Иногда с нового листа начинаются и параграфы (этот момент уточните в методичке).</w:t>
      </w:r>
    </w:p>
    <w:p w:rsidR="006A76D8" w:rsidRPr="006A76D8" w:rsidRDefault="006A76D8" w:rsidP="006A76D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76D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Негласное правило: завершающая часть главы должна занимать не менее четверти листа. У хитрых студентов, раздувающих объём, концы глав «висят» несколькими строчками на почти чистом листе, что вызывает сильное раздражение у преподавателей: они чувствуют, что их, как бы так выразиться… считают дураками.</w:t>
      </w:r>
    </w:p>
    <w:p w:rsidR="006A76D8" w:rsidRPr="006A76D8" w:rsidRDefault="006A76D8" w:rsidP="006A76D8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76D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Заключение также начинается на отдельном листе.</w:t>
      </w:r>
    </w:p>
    <w:p w:rsidR="006A76D8" w:rsidRPr="006A76D8" w:rsidRDefault="006A76D8" w:rsidP="006A76D8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76D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Заголовки структурных элементов реферата (введения, заключения, списка литературы, наименования глав) оформляются единообразно. Форматирование – по центру. Обычно – верхним регистром. Возможно дополнительное использование </w:t>
      </w:r>
      <w:proofErr w:type="spellStart"/>
      <w:r w:rsidRPr="006A76D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болда</w:t>
      </w:r>
      <w:proofErr w:type="spellEnd"/>
      <w:r w:rsidRPr="006A76D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(жирного).</w:t>
      </w:r>
    </w:p>
    <w:p w:rsidR="006A76D8" w:rsidRPr="006A76D8" w:rsidRDefault="006A76D8" w:rsidP="006A76D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76D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Не допускается оформление названия одного элемента верхним регистром, другого – нижним.</w:t>
      </w:r>
    </w:p>
    <w:p w:rsidR="006A76D8" w:rsidRPr="006A76D8" w:rsidRDefault="006A76D8" w:rsidP="006A76D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76D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Исключение: Параграфы и пункты, если они не начинаются на отдельных листах, могут оформляться нижним регистром и </w:t>
      </w:r>
      <w:proofErr w:type="spellStart"/>
      <w:r w:rsidRPr="006A76D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болдом</w:t>
      </w:r>
      <w:proofErr w:type="spellEnd"/>
      <w:r w:rsidRPr="006A76D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при оформлении названий глав верхним регистром. В этом случае они считаются составной частью глав. Этот нюанс лучше уточнить у преподавателя.</w:t>
      </w:r>
    </w:p>
    <w:p w:rsidR="006A76D8" w:rsidRPr="006A76D8" w:rsidRDefault="006A76D8" w:rsidP="006A76D8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76D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Названия глав, параграфов, пунктов и других элементов работы пишется БЕЗ КАВЫЧЕК.</w:t>
      </w:r>
      <w:r w:rsidRPr="006A76D8">
        <w:rPr>
          <w:rFonts w:ascii="Times New Roman" w:eastAsia="Times New Roman" w:hAnsi="Times New Roman" w:cs="Times New Roman"/>
          <w:i/>
          <w:iCs/>
          <w:color w:val="333333"/>
          <w:sz w:val="21"/>
          <w:lang w:eastAsia="ru-RU"/>
        </w:rPr>
        <w:t> </w:t>
      </w:r>
    </w:p>
    <w:p w:rsidR="006A76D8" w:rsidRPr="006A76D8" w:rsidRDefault="006A76D8" w:rsidP="006A76D8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76D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Внимание! После названий глав, слов «Введение», «Заключение», «Приложение» и фразы «Список литературы» </w:t>
      </w:r>
      <w:r w:rsidRPr="006A76D8">
        <w:rPr>
          <w:rFonts w:ascii="Times New Roman" w:eastAsia="Times New Roman" w:hAnsi="Times New Roman" w:cs="Times New Roman"/>
          <w:color w:val="FF0000"/>
          <w:sz w:val="21"/>
          <w:szCs w:val="21"/>
          <w:lang w:eastAsia="ru-RU"/>
        </w:rPr>
        <w:t>ТОЧКА НЕ СТАВИТСЯ! НЕ СТАВИТСЯ!!! НЕ СТАВИТСЯ!!!</w:t>
      </w:r>
      <w:r w:rsidRPr="006A76D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Очень частая ошибка. Доводит преподавателей до истерики </w:t>
      </w:r>
    </w:p>
    <w:p w:rsidR="006A76D8" w:rsidRPr="006A76D8" w:rsidRDefault="006A76D8" w:rsidP="006A76D8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76D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Список литературы оформляется на отдельном листе. В рефератах число использованных материалов невелико, поэтому группы в списке литературы, как правило, не выделяются </w:t>
      </w:r>
      <w:r w:rsidRPr="006A76D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lastRenderedPageBreak/>
        <w:t>(впрочем, это зависит от требований кафедры и научного руководителя). Но если в списке литературы есть источники, а не только научные исследования, выделение групп необходимо. Это актуально для историков, юристов, философов и ещё нескольких специальностей.</w:t>
      </w:r>
    </w:p>
    <w:p w:rsidR="006A76D8" w:rsidRPr="006A76D8" w:rsidRDefault="006A76D8" w:rsidP="006A76D8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76D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Список литературы выстраивается по алфавиту. Работы на иностранных языках, если таковые имеются, учебных работах обычно следуют после русскоязычных.</w:t>
      </w:r>
    </w:p>
    <w:p w:rsidR="006A76D8" w:rsidRPr="006A76D8" w:rsidRDefault="006A76D8" w:rsidP="006A76D8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76D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Оформление списка использованной литературы – согласно ГОСТу, то есть согласно правилам библиографического оформления источников.</w:t>
      </w:r>
    </w:p>
    <w:p w:rsidR="006A76D8" w:rsidRPr="006A76D8" w:rsidRDefault="006A76D8" w:rsidP="006A76D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76D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Допускается два варианта оформления: с тире между областями библиографического описания и без него. Число страниц в работе может опускаться.</w:t>
      </w:r>
    </w:p>
    <w:p w:rsidR="006A76D8" w:rsidRPr="006A76D8" w:rsidRDefault="006A76D8" w:rsidP="006A76D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76D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Образец оформления библиографии:</w:t>
      </w:r>
      <w:r w:rsidRPr="006A76D8">
        <w:rPr>
          <w:rFonts w:ascii="Times New Roman" w:eastAsia="Times New Roman" w:hAnsi="Times New Roman" w:cs="Times New Roman"/>
          <w:i/>
          <w:iCs/>
          <w:color w:val="333333"/>
          <w:sz w:val="21"/>
          <w:lang w:eastAsia="ru-RU"/>
        </w:rPr>
        <w:t> </w:t>
      </w:r>
    </w:p>
    <w:p w:rsidR="006A76D8" w:rsidRPr="006A76D8" w:rsidRDefault="006A76D8" w:rsidP="006A76D8">
      <w:pPr>
        <w:shd w:val="clear" w:color="auto" w:fill="FFFFFF"/>
        <w:spacing w:before="100" w:beforeAutospacing="1" w:after="100" w:afterAutospacing="1" w:line="384" w:lineRule="atLeast"/>
        <w:jc w:val="center"/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lang w:eastAsia="ru-RU"/>
        </w:rPr>
      </w:pPr>
      <w:r w:rsidRPr="006A76D8"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lang w:eastAsia="ru-RU"/>
        </w:rPr>
        <w:t xml:space="preserve">Иванов И. И. Межгалактические </w:t>
      </w:r>
      <w:proofErr w:type="spellStart"/>
      <w:r w:rsidRPr="006A76D8"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lang w:eastAsia="ru-RU"/>
        </w:rPr>
        <w:t>гипердвигатели</w:t>
      </w:r>
      <w:proofErr w:type="spellEnd"/>
      <w:r w:rsidRPr="006A76D8"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lang w:eastAsia="ru-RU"/>
        </w:rPr>
        <w:t xml:space="preserve">. – М.: </w:t>
      </w:r>
      <w:proofErr w:type="spellStart"/>
      <w:r w:rsidRPr="006A76D8"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lang w:eastAsia="ru-RU"/>
        </w:rPr>
        <w:t>Политех</w:t>
      </w:r>
      <w:proofErr w:type="spellEnd"/>
      <w:r w:rsidRPr="006A76D8"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lang w:eastAsia="ru-RU"/>
        </w:rPr>
        <w:t>, 2010. –  421 с.</w:t>
      </w:r>
      <w:r w:rsidRPr="006A76D8">
        <w:rPr>
          <w:rFonts w:ascii="Times New Roman" w:eastAsia="Times New Roman" w:hAnsi="Times New Roman" w:cs="Times New Roman"/>
          <w:i/>
          <w:iCs/>
          <w:color w:val="333333"/>
          <w:sz w:val="26"/>
          <w:lang w:eastAsia="ru-RU"/>
        </w:rPr>
        <w:t> </w:t>
      </w:r>
    </w:p>
    <w:p w:rsidR="006A76D8" w:rsidRPr="006A76D8" w:rsidRDefault="006A76D8" w:rsidP="006A76D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76D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Или:</w:t>
      </w:r>
      <w:r w:rsidRPr="006A76D8">
        <w:rPr>
          <w:rFonts w:ascii="Times New Roman" w:eastAsia="Times New Roman" w:hAnsi="Times New Roman" w:cs="Times New Roman"/>
          <w:i/>
          <w:iCs/>
          <w:color w:val="333333"/>
          <w:sz w:val="21"/>
          <w:lang w:eastAsia="ru-RU"/>
        </w:rPr>
        <w:t> </w:t>
      </w:r>
    </w:p>
    <w:p w:rsidR="006A76D8" w:rsidRPr="006A76D8" w:rsidRDefault="006A76D8" w:rsidP="006A76D8">
      <w:pPr>
        <w:shd w:val="clear" w:color="auto" w:fill="FFFFFF"/>
        <w:spacing w:before="100" w:beforeAutospacing="1" w:after="100" w:afterAutospacing="1" w:line="384" w:lineRule="atLeast"/>
        <w:jc w:val="center"/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lang w:eastAsia="ru-RU"/>
        </w:rPr>
      </w:pPr>
      <w:r w:rsidRPr="006A76D8"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lang w:eastAsia="ru-RU"/>
        </w:rPr>
        <w:t xml:space="preserve">Иванов И. И. Межгалактические </w:t>
      </w:r>
      <w:proofErr w:type="spellStart"/>
      <w:r w:rsidRPr="006A76D8"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lang w:eastAsia="ru-RU"/>
        </w:rPr>
        <w:t>гипердвигатели</w:t>
      </w:r>
      <w:proofErr w:type="spellEnd"/>
      <w:r w:rsidRPr="006A76D8"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lang w:eastAsia="ru-RU"/>
        </w:rPr>
        <w:t xml:space="preserve">. М.: </w:t>
      </w:r>
      <w:proofErr w:type="spellStart"/>
      <w:r w:rsidRPr="006A76D8"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lang w:eastAsia="ru-RU"/>
        </w:rPr>
        <w:t>Политех</w:t>
      </w:r>
      <w:proofErr w:type="spellEnd"/>
      <w:r w:rsidRPr="006A76D8"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lang w:eastAsia="ru-RU"/>
        </w:rPr>
        <w:t>, 2010.</w:t>
      </w:r>
      <w:r w:rsidRPr="006A76D8">
        <w:rPr>
          <w:rFonts w:ascii="Times New Roman" w:eastAsia="Times New Roman" w:hAnsi="Times New Roman" w:cs="Times New Roman"/>
          <w:i/>
          <w:iCs/>
          <w:color w:val="333333"/>
          <w:sz w:val="26"/>
          <w:lang w:eastAsia="ru-RU"/>
        </w:rPr>
        <w:t> </w:t>
      </w:r>
    </w:p>
    <w:p w:rsidR="006A76D8" w:rsidRPr="006A76D8" w:rsidRDefault="006A76D8" w:rsidP="006A76D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76D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Внимание: инициалы отделяются друг от друга не только точками, но и пробелами.</w:t>
      </w:r>
      <w:r w:rsidRPr="006A76D8">
        <w:rPr>
          <w:rFonts w:ascii="Times New Roman" w:eastAsia="Times New Roman" w:hAnsi="Times New Roman" w:cs="Times New Roman"/>
          <w:i/>
          <w:iCs/>
          <w:color w:val="333333"/>
          <w:sz w:val="21"/>
          <w:lang w:eastAsia="ru-RU"/>
        </w:rPr>
        <w:t> </w:t>
      </w:r>
    </w:p>
    <w:p w:rsidR="006A76D8" w:rsidRPr="006A76D8" w:rsidRDefault="006A76D8" w:rsidP="006A76D8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76D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Ссылки – требование опциональное. Часть рефератов (например, школьные) пишется без простановки ссылок. Если ссылки нужны, они оформляются по стандартным правилам. Обычно – на отдельном листе, после списка литературы. Иногда – постранично (в этом случае рекомендуется сплошная нумерация ссылок). Как оформлять ссылки – в конце работы или постранично, уточняйте у преподавателя.</w:t>
      </w:r>
    </w:p>
    <w:p w:rsidR="006A76D8" w:rsidRPr="006A76D8" w:rsidRDefault="006A76D8" w:rsidP="006A76D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76D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В ссылках указывается название работы (в соответствии с правилами оформления библиографии), страница, с которой взята информация. Если страниц несколько, они указываются через тире:</w:t>
      </w:r>
    </w:p>
    <w:p w:rsidR="006A76D8" w:rsidRPr="006A76D8" w:rsidRDefault="006A76D8" w:rsidP="006A76D8">
      <w:pPr>
        <w:shd w:val="clear" w:color="auto" w:fill="FFFFFF"/>
        <w:spacing w:before="100" w:beforeAutospacing="1" w:after="100" w:afterAutospacing="1" w:line="384" w:lineRule="atLeast"/>
        <w:jc w:val="center"/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lang w:eastAsia="ru-RU"/>
        </w:rPr>
      </w:pPr>
      <w:r w:rsidRPr="006A76D8"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lang w:eastAsia="ru-RU"/>
        </w:rPr>
        <w:t xml:space="preserve">Иванов И. И. Межгалактические </w:t>
      </w:r>
      <w:proofErr w:type="spellStart"/>
      <w:r w:rsidRPr="006A76D8"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lang w:eastAsia="ru-RU"/>
        </w:rPr>
        <w:t>гипердвигатели</w:t>
      </w:r>
      <w:proofErr w:type="spellEnd"/>
      <w:r w:rsidRPr="006A76D8"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lang w:eastAsia="ru-RU"/>
        </w:rPr>
        <w:t xml:space="preserve">. М.: </w:t>
      </w:r>
      <w:proofErr w:type="spellStart"/>
      <w:r w:rsidRPr="006A76D8"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lang w:eastAsia="ru-RU"/>
        </w:rPr>
        <w:t>Политех</w:t>
      </w:r>
      <w:proofErr w:type="spellEnd"/>
      <w:r w:rsidRPr="006A76D8"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lang w:eastAsia="ru-RU"/>
        </w:rPr>
        <w:t>, 2010. С. 35 – 37.</w:t>
      </w:r>
    </w:p>
    <w:p w:rsidR="006A76D8" w:rsidRPr="006A76D8" w:rsidRDefault="006A76D8" w:rsidP="006A76D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76D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Если вы дважды или и более раз ссылаетесь на один источник, используется следующая формула:</w:t>
      </w:r>
    </w:p>
    <w:p w:rsidR="006A76D8" w:rsidRPr="006A76D8" w:rsidRDefault="006A76D8" w:rsidP="006A76D8">
      <w:pPr>
        <w:shd w:val="clear" w:color="auto" w:fill="FFFFFF"/>
        <w:spacing w:before="100" w:beforeAutospacing="1" w:after="100" w:afterAutospacing="1" w:line="384" w:lineRule="atLeast"/>
        <w:jc w:val="center"/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lang w:eastAsia="ru-RU"/>
        </w:rPr>
      </w:pPr>
      <w:r w:rsidRPr="006A76D8"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lang w:eastAsia="ru-RU"/>
        </w:rPr>
        <w:t>Иванов И. И. Указ. соч. С. 35 – 37.</w:t>
      </w:r>
    </w:p>
    <w:p w:rsidR="006A76D8" w:rsidRPr="006A76D8" w:rsidRDefault="006A76D8" w:rsidP="006A76D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76D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Если ссылаетесь на этот источник дважды или несколько раз подряд, пишется просто:</w:t>
      </w:r>
    </w:p>
    <w:p w:rsidR="006A76D8" w:rsidRPr="006A76D8" w:rsidRDefault="006A76D8" w:rsidP="006A76D8">
      <w:pPr>
        <w:shd w:val="clear" w:color="auto" w:fill="FFFFFF"/>
        <w:spacing w:before="100" w:beforeAutospacing="1" w:after="100" w:afterAutospacing="1" w:line="384" w:lineRule="atLeast"/>
        <w:jc w:val="center"/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lang w:eastAsia="ru-RU"/>
        </w:rPr>
      </w:pPr>
      <w:r w:rsidRPr="006A76D8"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lang w:eastAsia="ru-RU"/>
        </w:rPr>
        <w:t>Там же. С. 39.</w:t>
      </w:r>
    </w:p>
    <w:p w:rsidR="006A76D8" w:rsidRPr="006A76D8" w:rsidRDefault="006A76D8" w:rsidP="006A76D8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76D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Приложение завершает работу. Его страницы не нумеруются. Если приложений несколько, они нумеруются латинскими цифрами: I, II, III и т. д.</w:t>
      </w:r>
    </w:p>
    <w:p w:rsidR="006A76D8" w:rsidRPr="006A76D8" w:rsidRDefault="006A76D8" w:rsidP="006A76D8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76D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Листы готового реферата скрепляются спиралью или же пробиваются дыроколом и вкладываются в папку с прозрачным верхним листом.</w:t>
      </w:r>
    </w:p>
    <w:p w:rsidR="001D1A41" w:rsidRDefault="001D1A41"/>
    <w:sectPr w:rsidR="001D1A41" w:rsidSect="001D1A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1D748A"/>
    <w:multiLevelType w:val="multilevel"/>
    <w:tmpl w:val="654CA7B0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132C6A"/>
    <w:multiLevelType w:val="multilevel"/>
    <w:tmpl w:val="4C0E2F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1019D3"/>
    <w:multiLevelType w:val="multilevel"/>
    <w:tmpl w:val="DE54E9E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F9323A3"/>
    <w:multiLevelType w:val="multilevel"/>
    <w:tmpl w:val="A2DA217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0FE24F3"/>
    <w:multiLevelType w:val="multilevel"/>
    <w:tmpl w:val="710A2C7A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3FB3532"/>
    <w:multiLevelType w:val="multilevel"/>
    <w:tmpl w:val="FBFA555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63237DB"/>
    <w:multiLevelType w:val="multilevel"/>
    <w:tmpl w:val="359E7C2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DAE4C27"/>
    <w:multiLevelType w:val="multilevel"/>
    <w:tmpl w:val="5356A410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05E55EB"/>
    <w:multiLevelType w:val="multilevel"/>
    <w:tmpl w:val="A6DE29C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5BC2D49"/>
    <w:multiLevelType w:val="multilevel"/>
    <w:tmpl w:val="146265CE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5E30380"/>
    <w:multiLevelType w:val="multilevel"/>
    <w:tmpl w:val="DB025FC4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CA54D66"/>
    <w:multiLevelType w:val="multilevel"/>
    <w:tmpl w:val="EA86CC38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E7133A1"/>
    <w:multiLevelType w:val="multilevel"/>
    <w:tmpl w:val="D3AE49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2951D28"/>
    <w:multiLevelType w:val="multilevel"/>
    <w:tmpl w:val="A25C46A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5465C7C"/>
    <w:multiLevelType w:val="multilevel"/>
    <w:tmpl w:val="7F4E6E7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BCA55A8"/>
    <w:multiLevelType w:val="multilevel"/>
    <w:tmpl w:val="87CAD278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1045FB2"/>
    <w:multiLevelType w:val="multilevel"/>
    <w:tmpl w:val="DAFA6CF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61940A7"/>
    <w:multiLevelType w:val="multilevel"/>
    <w:tmpl w:val="EBE685BA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6955D1D"/>
    <w:multiLevelType w:val="multilevel"/>
    <w:tmpl w:val="E2020B5E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1331DD4"/>
    <w:multiLevelType w:val="multilevel"/>
    <w:tmpl w:val="140E9988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28250DF"/>
    <w:multiLevelType w:val="multilevel"/>
    <w:tmpl w:val="69D0E81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50D6C80"/>
    <w:multiLevelType w:val="multilevel"/>
    <w:tmpl w:val="81484CB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5F100A2"/>
    <w:multiLevelType w:val="multilevel"/>
    <w:tmpl w:val="F4D672F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2"/>
  </w:num>
  <w:num w:numId="3">
    <w:abstractNumId w:val="20"/>
  </w:num>
  <w:num w:numId="4">
    <w:abstractNumId w:val="21"/>
  </w:num>
  <w:num w:numId="5">
    <w:abstractNumId w:val="6"/>
  </w:num>
  <w:num w:numId="6">
    <w:abstractNumId w:val="22"/>
  </w:num>
  <w:num w:numId="7">
    <w:abstractNumId w:val="16"/>
  </w:num>
  <w:num w:numId="8">
    <w:abstractNumId w:val="14"/>
  </w:num>
  <w:num w:numId="9">
    <w:abstractNumId w:val="8"/>
  </w:num>
  <w:num w:numId="10">
    <w:abstractNumId w:val="3"/>
  </w:num>
  <w:num w:numId="11">
    <w:abstractNumId w:val="5"/>
  </w:num>
  <w:num w:numId="12">
    <w:abstractNumId w:val="2"/>
  </w:num>
  <w:num w:numId="13">
    <w:abstractNumId w:val="13"/>
  </w:num>
  <w:num w:numId="14">
    <w:abstractNumId w:val="7"/>
  </w:num>
  <w:num w:numId="15">
    <w:abstractNumId w:val="10"/>
  </w:num>
  <w:num w:numId="16">
    <w:abstractNumId w:val="9"/>
  </w:num>
  <w:num w:numId="17">
    <w:abstractNumId w:val="4"/>
  </w:num>
  <w:num w:numId="18">
    <w:abstractNumId w:val="18"/>
  </w:num>
  <w:num w:numId="19">
    <w:abstractNumId w:val="15"/>
  </w:num>
  <w:num w:numId="20">
    <w:abstractNumId w:val="19"/>
  </w:num>
  <w:num w:numId="21">
    <w:abstractNumId w:val="17"/>
  </w:num>
  <w:num w:numId="22">
    <w:abstractNumId w:val="11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6D8"/>
    <w:rsid w:val="001D1A41"/>
    <w:rsid w:val="003E53C4"/>
    <w:rsid w:val="00445408"/>
    <w:rsid w:val="00456B06"/>
    <w:rsid w:val="0057424D"/>
    <w:rsid w:val="005F339D"/>
    <w:rsid w:val="00606D34"/>
    <w:rsid w:val="006A76D8"/>
    <w:rsid w:val="00802A76"/>
    <w:rsid w:val="00E00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6C16D8-A6D7-4BD6-9549-DE7372FD4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6D34"/>
  </w:style>
  <w:style w:type="paragraph" w:styleId="1">
    <w:name w:val="heading 1"/>
    <w:basedOn w:val="a"/>
    <w:next w:val="a"/>
    <w:link w:val="10"/>
    <w:uiPriority w:val="9"/>
    <w:qFormat/>
    <w:rsid w:val="00606D3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06D3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06D3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06D3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06D3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06D3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06D3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06D3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06D3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6D3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606D3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606D3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606D3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606D3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606D3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606D3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606D3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06D3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06D3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06D3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606D3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606D3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606D3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606D34"/>
    <w:rPr>
      <w:b/>
      <w:bCs/>
    </w:rPr>
  </w:style>
  <w:style w:type="character" w:styleId="a9">
    <w:name w:val="Emphasis"/>
    <w:basedOn w:val="a0"/>
    <w:uiPriority w:val="20"/>
    <w:qFormat/>
    <w:rsid w:val="00606D34"/>
    <w:rPr>
      <w:i/>
      <w:iCs/>
    </w:rPr>
  </w:style>
  <w:style w:type="paragraph" w:styleId="aa">
    <w:name w:val="No Spacing"/>
    <w:uiPriority w:val="1"/>
    <w:qFormat/>
    <w:rsid w:val="00606D34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606D3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06D34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606D34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606D3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606D34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606D34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606D34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606D34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606D34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606D34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606D34"/>
    <w:pPr>
      <w:outlineLvl w:val="9"/>
    </w:pPr>
  </w:style>
  <w:style w:type="paragraph" w:customStyle="1" w:styleId="11">
    <w:name w:val="Стиль1"/>
    <w:basedOn w:val="1"/>
    <w:link w:val="12"/>
    <w:qFormat/>
    <w:rsid w:val="00606D34"/>
    <w:pPr>
      <w:tabs>
        <w:tab w:val="left" w:pos="0"/>
      </w:tabs>
      <w:spacing w:before="0"/>
      <w:ind w:firstLine="709"/>
      <w:jc w:val="center"/>
    </w:pPr>
    <w:rPr>
      <w:sz w:val="16"/>
      <w:szCs w:val="16"/>
    </w:rPr>
  </w:style>
  <w:style w:type="character" w:customStyle="1" w:styleId="12">
    <w:name w:val="Стиль1 Знак"/>
    <w:basedOn w:val="10"/>
    <w:link w:val="11"/>
    <w:rsid w:val="00606D34"/>
    <w:rPr>
      <w:rFonts w:asciiTheme="majorHAnsi" w:eastAsiaTheme="majorEastAsia" w:hAnsiTheme="majorHAnsi" w:cstheme="majorBidi"/>
      <w:b/>
      <w:bCs/>
      <w:color w:val="365F91" w:themeColor="accent1" w:themeShade="BF"/>
      <w:sz w:val="16"/>
      <w:szCs w:val="16"/>
    </w:rPr>
  </w:style>
  <w:style w:type="paragraph" w:styleId="af4">
    <w:name w:val="Normal (Web)"/>
    <w:basedOn w:val="a"/>
    <w:uiPriority w:val="99"/>
    <w:semiHidden/>
    <w:unhideWhenUsed/>
    <w:rsid w:val="006A76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6A76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6A76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449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650277">
          <w:blockQuote w:val="1"/>
          <w:marLeft w:val="0"/>
          <w:marRight w:val="0"/>
          <w:marTop w:val="667"/>
          <w:marBottom w:val="667"/>
          <w:divBdr>
            <w:top w:val="dashed" w:sz="4" w:space="5" w:color="CACACA"/>
            <w:left w:val="none" w:sz="0" w:space="0" w:color="auto"/>
            <w:bottom w:val="dashed" w:sz="4" w:space="5" w:color="CACACA"/>
            <w:right w:val="none" w:sz="0" w:space="0" w:color="auto"/>
          </w:divBdr>
        </w:div>
        <w:div w:id="666711406">
          <w:blockQuote w:val="1"/>
          <w:marLeft w:val="0"/>
          <w:marRight w:val="0"/>
          <w:marTop w:val="667"/>
          <w:marBottom w:val="667"/>
          <w:divBdr>
            <w:top w:val="dashed" w:sz="4" w:space="5" w:color="CACACA"/>
            <w:left w:val="none" w:sz="0" w:space="0" w:color="auto"/>
            <w:bottom w:val="dashed" w:sz="4" w:space="5" w:color="CACACA"/>
            <w:right w:val="none" w:sz="0" w:space="0" w:color="auto"/>
          </w:divBdr>
        </w:div>
        <w:div w:id="1317878059">
          <w:blockQuote w:val="1"/>
          <w:marLeft w:val="0"/>
          <w:marRight w:val="0"/>
          <w:marTop w:val="667"/>
          <w:marBottom w:val="667"/>
          <w:divBdr>
            <w:top w:val="dashed" w:sz="4" w:space="5" w:color="CACACA"/>
            <w:left w:val="none" w:sz="0" w:space="0" w:color="auto"/>
            <w:bottom w:val="dashed" w:sz="4" w:space="5" w:color="CACACA"/>
            <w:right w:val="none" w:sz="0" w:space="0" w:color="auto"/>
          </w:divBdr>
        </w:div>
        <w:div w:id="1329289957">
          <w:blockQuote w:val="1"/>
          <w:marLeft w:val="0"/>
          <w:marRight w:val="0"/>
          <w:marTop w:val="667"/>
          <w:marBottom w:val="667"/>
          <w:divBdr>
            <w:top w:val="dashed" w:sz="4" w:space="5" w:color="CACACA"/>
            <w:left w:val="none" w:sz="0" w:space="0" w:color="auto"/>
            <w:bottom w:val="dashed" w:sz="4" w:space="5" w:color="CACACA"/>
            <w:right w:val="none" w:sz="0" w:space="0" w:color="auto"/>
          </w:divBdr>
        </w:div>
        <w:div w:id="848524368">
          <w:blockQuote w:val="1"/>
          <w:marLeft w:val="0"/>
          <w:marRight w:val="0"/>
          <w:marTop w:val="667"/>
          <w:marBottom w:val="667"/>
          <w:divBdr>
            <w:top w:val="dashed" w:sz="4" w:space="5" w:color="CACACA"/>
            <w:left w:val="none" w:sz="0" w:space="0" w:color="auto"/>
            <w:bottom w:val="dashed" w:sz="4" w:space="5" w:color="CACACA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1110</Words>
  <Characters>6333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2</cp:revision>
  <dcterms:created xsi:type="dcterms:W3CDTF">2026-03-25T05:51:00Z</dcterms:created>
  <dcterms:modified xsi:type="dcterms:W3CDTF">2026-03-25T05:51:00Z</dcterms:modified>
</cp:coreProperties>
</file>