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77" w:rsidRPr="00023353" w:rsidRDefault="00753477" w:rsidP="00753477">
      <w:pPr>
        <w:tabs>
          <w:tab w:val="left" w:pos="8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90C">
        <w:rPr>
          <w:rFonts w:ascii="Times New Roman" w:hAnsi="Times New Roman"/>
          <w:b/>
          <w:sz w:val="24"/>
          <w:szCs w:val="24"/>
        </w:rPr>
        <w:t>ВСЕРОССИЙСКИЙ ФИЗКУЛЬТУРНО-СПОРТИВНЫЙ КОМПЛЕКС ГТО</w:t>
      </w:r>
    </w:p>
    <w:p w:rsidR="00753477" w:rsidRDefault="00753477" w:rsidP="0075347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В целях</w:t>
      </w:r>
      <w:r w:rsidRPr="00DA790C">
        <w:rPr>
          <w:rFonts w:ascii="Times New Roman" w:hAnsi="Times New Roman"/>
          <w:b/>
          <w:sz w:val="24"/>
          <w:szCs w:val="24"/>
        </w:rPr>
        <w:t xml:space="preserve"> </w:t>
      </w:r>
      <w:r w:rsidRPr="00DA790C">
        <w:rPr>
          <w:rFonts w:ascii="Times New Roman" w:hAnsi="Times New Roman"/>
          <w:sz w:val="24"/>
          <w:szCs w:val="24"/>
        </w:rPr>
        <w:t xml:space="preserve">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с 1 сентября 2014 г. в Российской Федерации Указом Президента Российской Федерации от 24 марта </w:t>
      </w:r>
      <w:smartTag w:uri="urn:schemas-microsoft-com:office:smarttags" w:element="metricconverter">
        <w:smartTagPr>
          <w:attr w:name="ProductID" w:val="2014 г"/>
        </w:smartTagPr>
        <w:r w:rsidRPr="00DA790C">
          <w:rPr>
            <w:rFonts w:ascii="Times New Roman" w:hAnsi="Times New Roman"/>
            <w:sz w:val="24"/>
            <w:szCs w:val="24"/>
          </w:rPr>
          <w:t>2014 г</w:t>
        </w:r>
      </w:smartTag>
      <w:r w:rsidRPr="00DA790C">
        <w:rPr>
          <w:rFonts w:ascii="Times New Roman" w:hAnsi="Times New Roman"/>
          <w:sz w:val="24"/>
          <w:szCs w:val="24"/>
        </w:rPr>
        <w:t xml:space="preserve">. № 172 (далее </w:t>
      </w:r>
      <w:r>
        <w:rPr>
          <w:rFonts w:ascii="Times New Roman" w:hAnsi="Times New Roman"/>
          <w:sz w:val="24"/>
          <w:szCs w:val="24"/>
        </w:rPr>
        <w:t>–</w:t>
      </w:r>
      <w:r w:rsidRPr="00DA790C">
        <w:rPr>
          <w:rFonts w:ascii="Times New Roman" w:hAnsi="Times New Roman"/>
          <w:sz w:val="24"/>
          <w:szCs w:val="24"/>
        </w:rPr>
        <w:t xml:space="preserve"> Указ) введен в действие Всероссийский физкультурно-спортивный комплекс "Готов к труду и обороне" (ГТО).</w:t>
      </w:r>
    </w:p>
    <w:p w:rsidR="00753477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В качестве компонентов успешного внедрения комплекса ГТО можно выделить:</w:t>
      </w: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-18.2pt;margin-top:.9pt;width:541.7pt;height:32.55pt;z-index:251660288" adj="6059,41972" fillcolor="#0d0d0d">
            <v:textbox style="mso-next-textbox:#_x0000_s1026">
              <w:txbxContent>
                <w:p w:rsidR="00753477" w:rsidRPr="007566F9" w:rsidRDefault="00753477" w:rsidP="00753477">
                  <w:pP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39361D">
                    <w:rPr>
                      <w:rFonts w:ascii="Times New Roman" w:hAnsi="Times New Roman"/>
                      <w:b/>
                      <w:color w:val="FFFF00"/>
                      <w:sz w:val="32"/>
                      <w:szCs w:val="32"/>
                    </w:rPr>
                    <w:t>компоненты</w:t>
                  </w:r>
                  <w:r w:rsidRPr="007566F9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 xml:space="preserve"> успешного внедрения комплекса ГТО</w:t>
                  </w:r>
                </w:p>
                <w:p w:rsidR="00753477" w:rsidRPr="007566F9" w:rsidRDefault="00753477" w:rsidP="00753477">
                  <w:pPr>
                    <w:shd w:val="clear" w:color="auto" w:fill="0D0D0D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4" style="position:absolute;margin-left:184.45pt;margin-top:11.15pt;width:332.45pt;height:53.2pt;z-index:251668480" fillcolor="#3f3151" stroked="f">
            <v:textbox style="mso-next-textbox:#_x0000_s1034">
              <w:txbxContent>
                <w:p w:rsidR="00753477" w:rsidRPr="007566F9" w:rsidRDefault="00753477" w:rsidP="0075347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39361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включа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ет</w:t>
                  </w:r>
                  <w:r w:rsidRPr="0039361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законодательные, программные документы федерального, регионального и муниципального уровней по регулированию процесса внедрения комплекса ГТО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3" type="#_x0000_t15" style="position:absolute;margin-left:-17.15pt;margin-top:11.6pt;width:200.75pt;height:31pt;z-index:251667456" fillcolor="#5f497a" stroked="f">
            <o:extrusion v:ext="view" backdepth="1in" on="t" viewpoint="0" viewpointorigin="0" skewangle="-90" type="perspective"/>
            <v:textbox style="mso-next-textbox:#_x0000_s1033">
              <w:txbxContent>
                <w:p w:rsidR="00753477" w:rsidRPr="005A1955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нормативно-правовой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2" style="position:absolute;margin-left:184.05pt;margin-top:12.9pt;width:332.45pt;height:123.75pt;z-index:251666432" fillcolor="#753805" stroked="f">
            <v:textbox style="mso-next-textbox:#_x0000_s1032">
              <w:txbxContent>
                <w:p w:rsidR="00753477" w:rsidRPr="007566F9" w:rsidRDefault="00753477" w:rsidP="00753477">
                  <w:pPr>
                    <w:shd w:val="clear" w:color="auto" w:fill="813D05"/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7566F9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обеспечивает повышение профессионального мастерства руководителей и организаторов физкультурно-спортивной работы, преподавателей физической культуры в общеобразовательных организациях, организациях начального, среднего и высшего образования, материально-техническое оснащение и развитие физкультурно-спортивной инфраструктуры</w:t>
                  </w:r>
                </w:p>
              </w:txbxContent>
            </v:textbox>
          </v:rect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15" style="position:absolute;margin-left:-11.7pt;margin-top:6.5pt;width:196.8pt;height:31.2pt;z-index:251665408" fillcolor="#8c4306" stroked="f">
            <o:extrusion v:ext="view" backdepth="1in" on="t" viewpoint="0" viewpointorigin="0" skewangle="-90" type="perspective"/>
            <v:textbox style="mso-next-textbox:#_x0000_s1031">
              <w:txbxContent>
                <w:p w:rsidR="00753477" w:rsidRPr="00D9660D" w:rsidRDefault="00753477" w:rsidP="007534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00"/>
                      <w:sz w:val="28"/>
                      <w:szCs w:val="28"/>
                    </w:rPr>
                    <w:t>ресурсный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0" style="position:absolute;margin-left:184.25pt;margin-top:2.45pt;width:332.45pt;height:91.5pt;z-index:251664384" fillcolor="#205867" stroked="f">
            <v:textbox style="mso-next-textbox:#_x0000_s1030">
              <w:txbxContent>
                <w:p w:rsidR="00753477" w:rsidRPr="007566F9" w:rsidRDefault="00753477" w:rsidP="00753477">
                  <w:pPr>
                    <w:spacing w:line="240" w:lineRule="auto"/>
                    <w:rPr>
                      <w:b/>
                      <w:color w:val="FFFFFF"/>
                      <w:szCs w:val="24"/>
                    </w:rPr>
                  </w:pPr>
                  <w:r w:rsidRPr="007566F9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направлен на координацию взаимодействия органов исполнительной власти, органов местного самоуправления, образовательных организаций и общественных объединений, иных заинтересованных организаций  при осуществлении  деятельности по внедрению комплекса ГТО</w:t>
                  </w:r>
                </w:p>
              </w:txbxContent>
            </v:textbox>
          </v:rect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15" style="position:absolute;margin-left:-16.5pt;margin-top:11.55pt;width:200.75pt;height:31.35pt;z-index:251663360" fillcolor="#31849b" stroked="f">
            <o:extrusion v:ext="view" backdepth="1in" on="t" viewpoint="0" viewpointorigin="0" skewangle="-90" type="perspective"/>
            <v:textbox style="mso-next-textbox:#_x0000_s1029">
              <w:txbxContent>
                <w:p w:rsidR="00753477" w:rsidRPr="00201156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управленческий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margin-left:183.6pt;margin-top:2.15pt;width:332.45pt;height:64.95pt;z-index:251662336" fillcolor="#1c1a10" stroked="f">
            <v:textbox style="mso-next-textbox:#_x0000_s1028">
              <w:txbxContent>
                <w:p w:rsidR="00753477" w:rsidRPr="007566F9" w:rsidRDefault="00753477" w:rsidP="00753477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39361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направлен на разработку методических рекомендаций для обеспечения условий подготовки и выполнения населением необходимых требований комплекса ГТО, включая организацию самостоятельных занятий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15" style="position:absolute;margin-left:-17.15pt;margin-top:2.45pt;width:200.75pt;height:42.6pt;z-index:251661312" fillcolor="#512603" stroked="f">
            <o:extrusion v:ext="view" backdepth="1in" on="t" viewpoint="0" viewpointorigin="0" skewangle="-90" type="perspective"/>
            <v:textbox style="mso-next-textbox:#_x0000_s1027">
              <w:txbxContent>
                <w:p w:rsidR="00753477" w:rsidRPr="0073673A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программно-методический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5" style="position:absolute;margin-left:184.25pt;margin-top:1.85pt;width:332.45pt;height:137.25pt;z-index:251669504" fillcolor="#1f3d28" stroked="f">
            <v:textbox style="mso-next-textbox:#_x0000_s1035">
              <w:txbxContent>
                <w:p w:rsidR="00753477" w:rsidRPr="007566F9" w:rsidRDefault="00753477" w:rsidP="00753477">
                  <w:pPr>
                    <w:spacing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6E2D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направлен на формирование у граждан необходимых мотиваций к участию в мероприятиях комплекса ГТО, учет особенностей и интересов различных возрастных групп населения при выборе форм, средств и методов пропагандистской работы. Важным фактором успеха при организации этой деятельности является создание единого информационного поля, использование средств наглядной агитации и иных технологий, связанных с использованием  ресурса общественных организаций</w:t>
                  </w:r>
                </w:p>
              </w:txbxContent>
            </v:textbox>
          </v:rect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15" style="position:absolute;margin-left:-15.65pt;margin-top:2.1pt;width:200.75pt;height:44.6pt;z-index:251670528" fillcolor="#274b32" stroked="f">
            <o:extrusion v:ext="view" backdepth="1in" on="t" viewpoint="0" viewpointorigin="0" skewangle="-90" type="perspective"/>
            <v:textbox style="mso-next-textbox:#_x0000_s1036">
              <w:txbxContent>
                <w:p w:rsidR="00753477" w:rsidRPr="005359DD" w:rsidRDefault="00753477" w:rsidP="007534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00"/>
                      <w:sz w:val="28"/>
                      <w:szCs w:val="28"/>
                    </w:rPr>
                    <w:t>информационно-пропагандистский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209. Компоненты</w:t>
      </w:r>
      <w:r w:rsidRPr="00DA790C">
        <w:rPr>
          <w:rFonts w:ascii="Times New Roman" w:hAnsi="Times New Roman"/>
          <w:sz w:val="24"/>
          <w:szCs w:val="24"/>
        </w:rPr>
        <w:t xml:space="preserve"> успешного внедрения комплекса ГТО</w:t>
      </w:r>
    </w:p>
    <w:p w:rsidR="00753477" w:rsidRPr="00DA790C" w:rsidRDefault="00753477" w:rsidP="007534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Ключевым элементом процесса реализации комплекса ГТО является создание общероссийского Интернет-портала комплекса ГТО, обеспечивающего его функционирование в системе органов управления всех уровней, а также создание на его базе информационно-образовательного ресурса для подготовки граждан к выполнению нормативов комплекса ГТО.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В процессе практического внедрения комплекса ГТО имеет значение поиск наиболее эффективных форм и методов работы на различных уровнях власти, в образовательных организациях и на предприятиях различных форм собственности,  вовлечение в этот процесс общественных организаций и движений для обеспечения равных прав граждан при подготовке к выполнению нормативов и требований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b/>
          <w:bCs/>
          <w:sz w:val="24"/>
          <w:szCs w:val="24"/>
        </w:rPr>
        <w:t xml:space="preserve">Целью </w:t>
      </w:r>
      <w:r w:rsidRPr="001A5BDB">
        <w:rPr>
          <w:rFonts w:ascii="Times New Roman" w:hAnsi="Times New Roman"/>
          <w:bCs/>
          <w:sz w:val="24"/>
          <w:szCs w:val="24"/>
        </w:rPr>
        <w:t>введения комплекса ГТО</w:t>
      </w:r>
      <w:r w:rsidRPr="00DA790C">
        <w:rPr>
          <w:rFonts w:ascii="Times New Roman" w:hAnsi="Times New Roman"/>
          <w:sz w:val="24"/>
          <w:szCs w:val="24"/>
        </w:rPr>
        <w:t xml:space="preserve"> является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753477" w:rsidRPr="001A5BDB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A790C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1A5BDB">
        <w:rPr>
          <w:rFonts w:ascii="Times New Roman" w:hAnsi="Times New Roman"/>
          <w:bCs/>
          <w:sz w:val="24"/>
          <w:szCs w:val="24"/>
        </w:rPr>
        <w:t>комплекса ГТО: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увеличение числа граждан, систематически занимающихся физической культурой и спортом в Российской Федерации;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повышение общего уровня знаний населения о средствах, методах и формах организации самостоятельных занятий.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85369">
        <w:rPr>
          <w:rFonts w:ascii="Times New Roman" w:hAnsi="Times New Roman"/>
          <w:bCs/>
          <w:sz w:val="24"/>
          <w:szCs w:val="24"/>
        </w:rPr>
        <w:t>Комплекс ГТО построен на следующих</w:t>
      </w:r>
      <w:r w:rsidRPr="00DA790C">
        <w:rPr>
          <w:rFonts w:ascii="Times New Roman" w:hAnsi="Times New Roman"/>
          <w:b/>
          <w:bCs/>
          <w:sz w:val="24"/>
          <w:szCs w:val="24"/>
        </w:rPr>
        <w:t xml:space="preserve"> принципах</w:t>
      </w:r>
      <w:r w:rsidRPr="00B85369">
        <w:rPr>
          <w:rFonts w:ascii="Times New Roman" w:hAnsi="Times New Roman"/>
          <w:bCs/>
          <w:sz w:val="24"/>
          <w:szCs w:val="24"/>
        </w:rPr>
        <w:t>: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DD9C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5369">
        <w:rPr>
          <w:rFonts w:ascii="Times New Roman" w:hAnsi="Times New Roman"/>
          <w:b/>
          <w:bCs/>
          <w:i/>
          <w:sz w:val="24"/>
          <w:szCs w:val="24"/>
        </w:rPr>
        <w:t>добровольность и доступность</w:t>
      </w:r>
      <w:r w:rsidRPr="00DA790C">
        <w:rPr>
          <w:rFonts w:ascii="Times New Roman" w:hAnsi="Times New Roman"/>
          <w:sz w:val="24"/>
          <w:szCs w:val="24"/>
        </w:rPr>
        <w:t xml:space="preserve"> предполагают осознанное отношение каждого гражданина к участию в мероприятиях комплекса ГТО, основанное на обеспечениии государственных услуг населению при подготовке и выполнении нормативов и требований комплекса ГТО;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5369">
        <w:rPr>
          <w:rFonts w:ascii="Times New Roman" w:hAnsi="Times New Roman"/>
          <w:b/>
          <w:bCs/>
          <w:i/>
          <w:sz w:val="24"/>
          <w:szCs w:val="24"/>
        </w:rPr>
        <w:t>оздоровительная и личностно-ориентированная направленность</w:t>
      </w:r>
      <w:r w:rsidRPr="00DA790C">
        <w:rPr>
          <w:rFonts w:ascii="Times New Roman" w:hAnsi="Times New Roman"/>
          <w:sz w:val="24"/>
          <w:szCs w:val="24"/>
        </w:rPr>
        <w:t xml:space="preserve"> предполагает обязательную профилактическую и развивающую составляющую программ комплекса ГТО, которые отвечают индивидуальным возможностям и потребностям каждого человека при занятиях физической культурой и спортом;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5369">
        <w:rPr>
          <w:rFonts w:ascii="Times New Roman" w:hAnsi="Times New Roman"/>
          <w:bCs/>
          <w:sz w:val="24"/>
          <w:szCs w:val="24"/>
        </w:rPr>
        <w:t>принцип</w:t>
      </w:r>
      <w:r w:rsidRPr="00DA7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5369">
        <w:rPr>
          <w:rFonts w:ascii="Times New Roman" w:hAnsi="Times New Roman"/>
          <w:b/>
          <w:bCs/>
          <w:i/>
          <w:sz w:val="24"/>
          <w:szCs w:val="24"/>
        </w:rPr>
        <w:t>обязательного медицинского контроля</w:t>
      </w:r>
      <w:r w:rsidRPr="00DA790C">
        <w:rPr>
          <w:rFonts w:ascii="Times New Roman" w:hAnsi="Times New Roman"/>
          <w:sz w:val="24"/>
          <w:szCs w:val="24"/>
        </w:rPr>
        <w:t xml:space="preserve"> предполагает обеспечение медицинского контроля на каждом этапе подготовки и выполнения нормативов и требований комплекса ГТО;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DE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5369">
        <w:rPr>
          <w:rFonts w:ascii="Times New Roman" w:hAnsi="Times New Roman"/>
          <w:bCs/>
          <w:sz w:val="24"/>
          <w:szCs w:val="24"/>
        </w:rPr>
        <w:t xml:space="preserve">принцип </w:t>
      </w:r>
      <w:r w:rsidRPr="00B85369">
        <w:rPr>
          <w:rFonts w:ascii="Times New Roman" w:hAnsi="Times New Roman"/>
          <w:b/>
          <w:bCs/>
          <w:i/>
          <w:sz w:val="24"/>
          <w:szCs w:val="24"/>
        </w:rPr>
        <w:t>учета региональных особенностей и национальных традиций</w:t>
      </w:r>
      <w:r w:rsidRPr="00DA790C">
        <w:rPr>
          <w:rFonts w:ascii="Times New Roman" w:hAnsi="Times New Roman"/>
          <w:sz w:val="24"/>
          <w:szCs w:val="24"/>
        </w:rPr>
        <w:t xml:space="preserve"> позволяет использовать региональный опыт при формировании содержания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Комплекс ГТО представляется как система непрерывного физического воспитания граждан от   6 до 70 лет и старше, состоящая из 11 ступеней, которые включают, наряду с тестами и нормативами, рекомендации по ведению здорового образа жизни.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Виды испытаний комплекса ГТО позволяют объективно оценить уровень развития основных физических качеств человека: силы, выносливости, быстроты, гибкости, координации, а также владение прикладными умениями и навыками.  </w:t>
      </w:r>
    </w:p>
    <w:p w:rsidR="00753477" w:rsidRPr="00B85369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85369">
        <w:rPr>
          <w:rFonts w:ascii="Times New Roman" w:hAnsi="Times New Roman"/>
          <w:b/>
          <w:bCs/>
          <w:sz w:val="24"/>
          <w:szCs w:val="24"/>
        </w:rPr>
        <w:t xml:space="preserve">Распределение </w:t>
      </w:r>
      <w:r w:rsidRPr="00B85369">
        <w:rPr>
          <w:rFonts w:ascii="Times New Roman" w:hAnsi="Times New Roman"/>
          <w:bCs/>
          <w:sz w:val="24"/>
          <w:szCs w:val="24"/>
        </w:rPr>
        <w:t xml:space="preserve">граждан по ступеням с учетом пола и возраста: </w:t>
      </w:r>
    </w:p>
    <w:p w:rsidR="00753477" w:rsidRPr="00DA790C" w:rsidRDefault="00753477" w:rsidP="00753477">
      <w:pPr>
        <w:shd w:val="clear" w:color="auto" w:fill="DAEEF3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1 ступень – мальчики и девочки от 6 до 8 лет (1-2 класс);</w:t>
      </w:r>
    </w:p>
    <w:p w:rsidR="00753477" w:rsidRPr="00DA790C" w:rsidRDefault="00753477" w:rsidP="00753477">
      <w:pPr>
        <w:shd w:val="clear" w:color="auto" w:fill="FFFFCC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2 ступень – мальчики и девочки от 9 до 10 лет (3-4 класс);</w:t>
      </w:r>
    </w:p>
    <w:p w:rsidR="00753477" w:rsidRPr="00DA790C" w:rsidRDefault="00753477" w:rsidP="00753477">
      <w:pPr>
        <w:shd w:val="clear" w:color="auto" w:fill="DDD9C3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3 ступень – мальчики и девочки от 11 до 12 лет (5-6 класс);</w:t>
      </w:r>
    </w:p>
    <w:p w:rsidR="00753477" w:rsidRPr="00DA790C" w:rsidRDefault="00753477" w:rsidP="00753477">
      <w:pPr>
        <w:shd w:val="clear" w:color="auto" w:fill="DBE5F1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4 ступень – юноши и девушки от 13 до 15 лет (7-9 класс);</w:t>
      </w:r>
    </w:p>
    <w:p w:rsidR="00753477" w:rsidRPr="00DA790C" w:rsidRDefault="00753477" w:rsidP="00753477">
      <w:pPr>
        <w:shd w:val="clear" w:color="auto" w:fill="F2DBDB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5 ступень – юноши и девушки от 16 до 17 лет (10-11 класс);</w:t>
      </w:r>
    </w:p>
    <w:p w:rsidR="00753477" w:rsidRPr="00DA790C" w:rsidRDefault="00753477" w:rsidP="00753477">
      <w:pPr>
        <w:shd w:val="clear" w:color="auto" w:fill="D9D9D9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6 ступень – мужчины и женщины от 18 до 29 лет;</w:t>
      </w:r>
    </w:p>
    <w:p w:rsidR="00753477" w:rsidRPr="00DA790C" w:rsidRDefault="00753477" w:rsidP="00753477">
      <w:pPr>
        <w:shd w:val="clear" w:color="auto" w:fill="EAF1DD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7 ступень – мужчины и женщины от 30 до 39 лет;</w:t>
      </w:r>
    </w:p>
    <w:p w:rsidR="00753477" w:rsidRPr="00DA790C" w:rsidRDefault="00753477" w:rsidP="00753477">
      <w:pPr>
        <w:shd w:val="clear" w:color="auto" w:fill="E5DFEC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8 ступень –  мужчины и женщины от 40 до 49 лет;</w:t>
      </w:r>
    </w:p>
    <w:p w:rsidR="00753477" w:rsidRPr="00DA790C" w:rsidRDefault="00753477" w:rsidP="00753477">
      <w:pPr>
        <w:shd w:val="clear" w:color="auto" w:fill="DAEEF3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9 ступень – мужчины и женщины от 50 до 59 лет;</w:t>
      </w:r>
    </w:p>
    <w:p w:rsidR="00753477" w:rsidRPr="00DA790C" w:rsidRDefault="00753477" w:rsidP="00753477">
      <w:pPr>
        <w:shd w:val="clear" w:color="auto" w:fill="FDE9D9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10 ступень –  мужчины и женщины от 60 до 69 лет;</w:t>
      </w:r>
    </w:p>
    <w:p w:rsidR="00753477" w:rsidRPr="00DA790C" w:rsidRDefault="00753477" w:rsidP="00753477">
      <w:pPr>
        <w:shd w:val="clear" w:color="auto" w:fill="FFCC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lastRenderedPageBreak/>
        <w:t>11 ступень – мужчины и женщины старше 70 лет.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Каждая из одиннадцати ступеней комплекса включает требования к усвоению и владению теоретическими знаниями и навыками, а также содержит нормативы для выполнения практических испытаний (тестов).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A790C">
        <w:rPr>
          <w:rFonts w:ascii="Times New Roman" w:hAnsi="Times New Roman"/>
          <w:b/>
          <w:bCs/>
          <w:sz w:val="24"/>
          <w:szCs w:val="24"/>
        </w:rPr>
        <w:t xml:space="preserve">Структура </w:t>
      </w:r>
      <w:r w:rsidRPr="00B85369">
        <w:rPr>
          <w:rFonts w:ascii="Times New Roman" w:hAnsi="Times New Roman"/>
          <w:bCs/>
          <w:sz w:val="24"/>
          <w:szCs w:val="24"/>
        </w:rPr>
        <w:t>каждой ступени одинакова и включает в себя три блока: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виды испытаний (тесты), которые позволяют определить уровень развития физических качеств, прикладных двигательных умений и навыков;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нормативы, которые позволяют дать оценку развитию физических качеств, двигательных умений и навыков в соответствии с половыми и возрастными особенностями развития человека;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рекомендации недельного двигательного режима для успешной подготовки и выполнения нормативов комплекса ГТО.</w:t>
      </w:r>
    </w:p>
    <w:p w:rsidR="00753477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В свою очередь, испытания (тесты) подразделяются на обязательные и факультативные (по выбору). 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6F70"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7" type="#_x0000_t84" style="position:absolute;margin-left:103.05pt;margin-top:8.4pt;width:387.75pt;height:206.6pt;z-index:251671552" adj="4898" fillcolor="#d8d8d8" strokecolor="white">
            <v:textbox style="mso-next-textbox:#_x0000_s1037">
              <w:txbxContent>
                <w:p w:rsidR="00753477" w:rsidRPr="00DF6628" w:rsidRDefault="00753477" w:rsidP="00753477">
                  <w:pPr>
                    <w:pStyle w:val="a3"/>
                    <w:shd w:val="clear" w:color="auto" w:fill="D9D9D9"/>
                    <w:tabs>
                      <w:tab w:val="left" w:pos="284"/>
                    </w:tabs>
                    <w:spacing w:before="0" w:beforeAutospacing="0" w:after="0" w:afterAutospacing="0"/>
                  </w:pPr>
                  <w:r w:rsidRPr="00DA790C">
                    <w:t xml:space="preserve">К </w:t>
                  </w:r>
                  <w:r w:rsidRPr="00E46E13">
                    <w:rPr>
                      <w:b/>
                      <w:i/>
                      <w:color w:val="C00000"/>
                    </w:rPr>
                    <w:t>обязательным</w:t>
                  </w:r>
                  <w:r w:rsidRPr="00B85369">
                    <w:rPr>
                      <w:i/>
                    </w:rPr>
                    <w:t xml:space="preserve"> </w:t>
                  </w:r>
                  <w:r w:rsidRPr="00DA790C">
                    <w:t>испытаниям (тестам) относятся испытания по определению уровня развития быстроты, силы, выносливости и гибкости с учетом ступеней комплекса ГТО.</w:t>
                  </w:r>
                  <w:r>
                    <w:t xml:space="preserve"> </w:t>
                  </w:r>
                  <w:r w:rsidRPr="00DA790C">
                    <w:t xml:space="preserve">Тесты </w:t>
                  </w:r>
                  <w:r w:rsidRPr="00E46E13">
                    <w:rPr>
                      <w:b/>
                      <w:i/>
                      <w:color w:val="C00000"/>
                    </w:rPr>
                    <w:t>по выбору</w:t>
                  </w:r>
                  <w:r w:rsidRPr="00DA790C">
                    <w:t xml:space="preserve"> подразделяются на испытания по определению уровня развития скоростно-силовых возможностей, координационных способностей, овладению навыками прикладного характера.</w:t>
                  </w:r>
                </w:p>
              </w:txbxContent>
            </v:textbox>
          </v:shape>
        </w:pic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324993" simplePos="0" relativeHeight="251672576" behindDoc="0" locked="0" layoutInCell="1" allowOverlap="1">
            <wp:simplePos x="0" y="0"/>
            <wp:positionH relativeFrom="column">
              <wp:posOffset>22987</wp:posOffset>
            </wp:positionH>
            <wp:positionV relativeFrom="paragraph">
              <wp:posOffset>97663</wp:posOffset>
            </wp:positionV>
            <wp:extent cx="2142871" cy="1914271"/>
            <wp:effectExtent l="266700" t="190500" r="0" b="276479"/>
            <wp:wrapNone/>
            <wp:docPr id="14" name="Рисунок 1" descr="D:\Мои документы\Папа\материалы в Интернет\Нуми\методические пособия\im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апа\материалы в Интернет\Нуми\методические пособия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69" r="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1" cy="191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210. Обязательные испытания и тесты по выбору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B85369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A790C">
        <w:rPr>
          <w:rFonts w:ascii="Times New Roman" w:hAnsi="Times New Roman"/>
          <w:b/>
          <w:bCs/>
          <w:sz w:val="24"/>
          <w:szCs w:val="24"/>
        </w:rPr>
        <w:t xml:space="preserve">Уровень знаний и умений </w:t>
      </w:r>
      <w:r w:rsidRPr="00B85369">
        <w:rPr>
          <w:rFonts w:ascii="Times New Roman" w:hAnsi="Times New Roman"/>
          <w:bCs/>
          <w:sz w:val="24"/>
          <w:szCs w:val="24"/>
        </w:rPr>
        <w:t xml:space="preserve">в сфере физической культуры и спорта оценивается по следующим вопросам: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значение физической культуры и спорта;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влияние средств физической культуры на уровень здоровья, повышение физической и умственной работоспособности;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C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гигиенические аспекты самостоятельных занятий физической культурой;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средства и методы контроля физического состояния при применении различных форм физической культуры;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методические основы самостоятельных занятий;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исторические аспекты развития физической культуры и спорта;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DE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овладение практическими умениями и двигательными навыками в физкультурно-спортивной деятельности.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Требования к рекомендациям недельного двигательного режима предусматривают минимальный объем различных видов двигательной деятельности, который необходим для подготовки к выполнению испытаний и нормативов, развития физических качеств, сохранения, укрепления и поддержания на должном уровне здоровья человека.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5369">
        <w:rPr>
          <w:rFonts w:ascii="Times New Roman" w:hAnsi="Times New Roman"/>
          <w:b/>
          <w:sz w:val="24"/>
          <w:szCs w:val="24"/>
        </w:rPr>
        <w:lastRenderedPageBreak/>
        <w:t>Кадровое обеспечение</w:t>
      </w:r>
      <w:r w:rsidRPr="00DA790C">
        <w:rPr>
          <w:rFonts w:ascii="Times New Roman" w:hAnsi="Times New Roman"/>
          <w:sz w:val="24"/>
          <w:szCs w:val="24"/>
        </w:rPr>
        <w:t xml:space="preserve"> процесса подготовки к выполнению нормативов и требований комплекса ГТО предполагает максимальное использование ресурсов государственной системы образования и ее потенциала:</w:t>
      </w:r>
    </w:p>
    <w:p w:rsidR="00753477" w:rsidRPr="00DA790C" w:rsidRDefault="00753477" w:rsidP="007534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учителей физической культуры общеобразовательных организаций;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DD9C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руководителей и преподавателей физического воспитания системы начального, среднего и высшего профессионального образования;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тренеров-преподавателей учреждений дополнительного образования спортивного и общефизического профиля;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руководителей физической подготовки специальных образовательных учреждений.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Указанные специалисты осуществляют деятельность по физическому воспитанию для всех категорий обучающихся в соответствии с федеральными государственными  образовательными стандартами. При этом объем и продолжительность программ физического воспитания обучающихся являются необходимым, обязательным и достаточным условием для успешной подготовки последних к выполнению государственных нормативов и требований к уровню знаний и умений в области физической культуры и спорта по программе комплекса ГТО.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Подготовку, переподготовку и повышение квалификации кадров по программам дополнительного профессионального образования комплекса ГТО рекомендуется проводить для следующих </w:t>
      </w:r>
      <w:r w:rsidRPr="00B85369">
        <w:rPr>
          <w:rFonts w:ascii="Times New Roman" w:hAnsi="Times New Roman"/>
          <w:b/>
          <w:sz w:val="24"/>
          <w:szCs w:val="24"/>
        </w:rPr>
        <w:t>категорий</w:t>
      </w:r>
      <w:r w:rsidRPr="00DA790C">
        <w:rPr>
          <w:rFonts w:ascii="Times New Roman" w:hAnsi="Times New Roman"/>
          <w:sz w:val="24"/>
          <w:szCs w:val="24"/>
        </w:rPr>
        <w:t xml:space="preserve">: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руководители органов управления по физической культуре и спорту разного уровня и  организаторы физкультурно-спортивной работы;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AEEF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специалисты по физической культуре и спорту организаций и учреждений образования;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DE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спортивные судьи; 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общественные кадры (волонтеры), участвующие в работе центров тестирования.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6F70">
        <w:rPr>
          <w:noProof/>
          <w:lang w:eastAsia="ru-RU"/>
        </w:rPr>
        <w:pict>
          <v:shape id="_x0000_s1039" type="#_x0000_t84" style="position:absolute;margin-left:-2.7pt;margin-top:2.1pt;width:394.5pt;height:202.85pt;z-index:251673600" adj="4820" fillcolor="#d8d8d8" strokecolor="white">
            <v:textbox style="mso-next-textbox:#_x0000_s1039">
              <w:txbxContent>
                <w:p w:rsidR="00753477" w:rsidRPr="00DF6628" w:rsidRDefault="00753477" w:rsidP="00753477">
                  <w:pPr>
                    <w:pStyle w:val="a3"/>
                    <w:shd w:val="clear" w:color="auto" w:fill="D9D9D9"/>
                    <w:tabs>
                      <w:tab w:val="left" w:pos="284"/>
                    </w:tabs>
                    <w:spacing w:before="0" w:beforeAutospacing="0" w:after="0" w:afterAutospacing="0"/>
                  </w:pPr>
                  <w:r w:rsidRPr="00CA7F50">
                    <w:rPr>
                      <w:b/>
                      <w:i/>
                      <w:color w:val="C00000"/>
                    </w:rPr>
                    <w:t>Медицинский осмотр</w:t>
                  </w:r>
                  <w:r w:rsidRPr="00DA790C">
                    <w:t xml:space="preserve"> для допуска к выпо</w:t>
                  </w:r>
                  <w:r>
                    <w:t>лнению нормативов и требований к</w:t>
                  </w:r>
                  <w:r w:rsidRPr="00DA790C">
                    <w:t>омплекса ГТО осуществляется врачами-терапевтами, педиатрами, врачами общей практики и врачами по спортивной медицине в амбулаторно-поликлинических учреждениях с учетом результатов ранее пройденных медицинских осмотров.</w:t>
                  </w:r>
                </w:p>
              </w:txbxContent>
            </v:textbox>
          </v:shape>
        </w:pic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69164" distR="114300" simplePos="0" relativeHeight="251674624" behindDoc="0" locked="0" layoutInCell="1" allowOverlap="1">
            <wp:simplePos x="0" y="0"/>
            <wp:positionH relativeFrom="column">
              <wp:posOffset>4070731</wp:posOffset>
            </wp:positionH>
            <wp:positionV relativeFrom="paragraph">
              <wp:posOffset>159004</wp:posOffset>
            </wp:positionV>
            <wp:extent cx="2095373" cy="2095627"/>
            <wp:effectExtent l="0" t="361950" r="76327" b="228473"/>
            <wp:wrapNone/>
            <wp:docPr id="16" name="Рисунок 2" descr="D:\Мои документы\Папа\материалы в Интернет\Нуми\методические пособия\b7190c4ee6b3ceb428d29a11909a1422--omar-rayyan-get-well-card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Папа\материалы в Интернет\Нуми\методические пособия\b7190c4ee6b3ceb428d29a11909a1422--omar-rayyan-get-well-card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73" cy="209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211. </w:t>
      </w:r>
      <w:r w:rsidRPr="000C76B4">
        <w:rPr>
          <w:rFonts w:ascii="Times New Roman" w:hAnsi="Times New Roman"/>
          <w:sz w:val="24"/>
          <w:szCs w:val="24"/>
        </w:rPr>
        <w:t>Медицинский осмотр</w:t>
      </w:r>
      <w:r w:rsidRPr="00DA790C">
        <w:rPr>
          <w:rFonts w:ascii="Times New Roman" w:hAnsi="Times New Roman"/>
          <w:sz w:val="24"/>
          <w:szCs w:val="24"/>
        </w:rPr>
        <w:t xml:space="preserve"> для допуска к выпо</w:t>
      </w:r>
      <w:r>
        <w:rPr>
          <w:rFonts w:ascii="Times New Roman" w:hAnsi="Times New Roman"/>
          <w:sz w:val="24"/>
          <w:szCs w:val="24"/>
        </w:rPr>
        <w:t>лнению нормативов и требований к</w:t>
      </w:r>
      <w:r w:rsidRPr="00DA790C">
        <w:rPr>
          <w:rFonts w:ascii="Times New Roman" w:hAnsi="Times New Roman"/>
          <w:sz w:val="24"/>
          <w:szCs w:val="24"/>
        </w:rPr>
        <w:t>омплекса ГТО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В отношении допуска обучающихся к выполнению нормативов и требований Комплекса ГТО, равно как и спортсменов, причисленных к физкультурно-спортивным школам, работников учреждений и </w:t>
      </w:r>
      <w:r>
        <w:rPr>
          <w:rFonts w:ascii="Times New Roman" w:hAnsi="Times New Roman"/>
          <w:sz w:val="24"/>
          <w:szCs w:val="24"/>
        </w:rPr>
        <w:t xml:space="preserve">предприятий установлена схема – </w:t>
      </w:r>
      <w:r w:rsidRPr="00DA790C">
        <w:rPr>
          <w:rFonts w:ascii="Times New Roman" w:hAnsi="Times New Roman"/>
          <w:sz w:val="24"/>
          <w:szCs w:val="24"/>
        </w:rPr>
        <w:t>медосмотр в здравпункте соответствующего учреждения или организации.</w:t>
      </w:r>
    </w:p>
    <w:p w:rsidR="00753477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lastRenderedPageBreak/>
        <w:t xml:space="preserve">При этом методические рекомендации устанавливают следующие </w:t>
      </w:r>
      <w:r w:rsidRPr="00B85369">
        <w:rPr>
          <w:rFonts w:ascii="Times New Roman" w:hAnsi="Times New Roman"/>
          <w:b/>
          <w:i/>
          <w:sz w:val="24"/>
          <w:szCs w:val="24"/>
        </w:rPr>
        <w:t>виды</w:t>
      </w:r>
      <w:r w:rsidRPr="00DA790C">
        <w:rPr>
          <w:rFonts w:ascii="Times New Roman" w:hAnsi="Times New Roman"/>
          <w:sz w:val="24"/>
          <w:szCs w:val="24"/>
        </w:rPr>
        <w:t xml:space="preserve"> медицинского осмотра:</w:t>
      </w: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1" type="#_x0000_t61" style="position:absolute;margin-left:-18.2pt;margin-top:.9pt;width:541.7pt;height:32.55pt;z-index:251675648" adj="6059,41972" fillcolor="#0d0d0d">
            <v:textbox style="mso-next-textbox:#_x0000_s1041">
              <w:txbxContent>
                <w:p w:rsidR="00753477" w:rsidRPr="009739D0" w:rsidRDefault="00753477" w:rsidP="00753477">
                  <w:pP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023098">
                    <w:rPr>
                      <w:rFonts w:ascii="Times New Roman" w:hAnsi="Times New Roman"/>
                      <w:b/>
                      <w:color w:val="FFFF00"/>
                      <w:sz w:val="32"/>
                      <w:szCs w:val="32"/>
                    </w:rPr>
                    <w:t xml:space="preserve">виды </w:t>
                  </w:r>
                  <w:r w:rsidRPr="009739D0"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  <w:t>медицинского осмотра</w:t>
                  </w:r>
                </w:p>
                <w:p w:rsidR="00753477" w:rsidRPr="009739D0" w:rsidRDefault="00753477" w:rsidP="00753477">
                  <w:pPr>
                    <w:shd w:val="clear" w:color="auto" w:fill="0D0D0D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2A206A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9" style="position:absolute;margin-left:184.45pt;margin-top:11.15pt;width:332.45pt;height:56.2pt;z-index:251683840" fillcolor="#3f3151" stroked="f">
            <v:textbox style="mso-next-textbox:#_x0000_s1049">
              <w:txbxContent>
                <w:p w:rsidR="00753477" w:rsidRPr="009739D0" w:rsidRDefault="00753477" w:rsidP="0075347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0230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проводится в целях раннего выявления патологических состояний, заболеваний и факторов риска их развития, а также для формирования групп состояния здоровья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8" type="#_x0000_t15" style="position:absolute;margin-left:-17.15pt;margin-top:11.6pt;width:200.75pt;height:31pt;z-index:251682816" fillcolor="#5f497a" stroked="f">
            <o:extrusion v:ext="view" backdepth="1in" on="t" viewpoint="0" viewpointorigin="0" skewangle="-90" type="perspective"/>
            <v:textbox style="mso-next-textbox:#_x0000_s1048">
              <w:txbxContent>
                <w:p w:rsidR="00753477" w:rsidRPr="005A1955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профилактический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7" style="position:absolute;margin-left:184.05pt;margin-top:1.95pt;width:332.45pt;height:69.9pt;z-index:251681792" fillcolor="#753805" stroked="f">
            <v:textbox style="mso-next-textbox:#_x0000_s1047">
              <w:txbxContent>
                <w:p w:rsidR="00753477" w:rsidRPr="009739D0" w:rsidRDefault="00753477" w:rsidP="00753477">
                  <w:pPr>
                    <w:shd w:val="clear" w:color="auto" w:fill="813D05"/>
                    <w:spacing w:after="0"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9739D0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проводится при поступлении на работу или учебу для определения соответствия здоровья работника порученной ему работе, учащегося - требованиям к обучению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6" type="#_x0000_t15" style="position:absolute;margin-left:-11.7pt;margin-top:9.2pt;width:196.8pt;height:31.2pt;z-index:251680768" fillcolor="#8c4306" stroked="f">
            <o:extrusion v:ext="view" backdepth="1in" on="t" viewpoint="0" viewpointorigin="0" skewangle="-90" type="perspective"/>
            <v:textbox style="mso-next-textbox:#_x0000_s1046">
              <w:txbxContent>
                <w:p w:rsidR="00753477" w:rsidRPr="00D9660D" w:rsidRDefault="00753477" w:rsidP="007534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00"/>
                      <w:sz w:val="28"/>
                      <w:szCs w:val="28"/>
                    </w:rPr>
                    <w:t>предварительный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5" style="position:absolute;margin-left:184.25pt;margin-top:6.5pt;width:332.45pt;height:50.35pt;z-index:251679744" fillcolor="#205867" stroked="f">
            <v:textbox style="mso-next-textbox:#_x0000_s1045">
              <w:txbxContent>
                <w:p w:rsidR="00753477" w:rsidRPr="009739D0" w:rsidRDefault="00753477" w:rsidP="00753477">
                  <w:pPr>
                    <w:spacing w:line="240" w:lineRule="auto"/>
                    <w:rPr>
                      <w:b/>
                      <w:color w:val="FFFFFF"/>
                      <w:szCs w:val="24"/>
                    </w:rPr>
                  </w:pPr>
                  <w:r w:rsidRPr="009739D0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проводится в целях динамического наблюдения за состоянием здоровья, своевременного выявления начальных форм заболеваний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4" type="#_x0000_t15" style="position:absolute;margin-left:-16.5pt;margin-top:3.1pt;width:200.75pt;height:31.35pt;z-index:251678720" fillcolor="#31849b" stroked="f">
            <o:extrusion v:ext="view" backdepth="1in" on="t" viewpoint="0" viewpointorigin="0" skewangle="-90" type="perspective"/>
            <v:textbox style="mso-next-textbox:#_x0000_s1044">
              <w:txbxContent>
                <w:p w:rsidR="00753477" w:rsidRPr="00201156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периодический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3" style="position:absolute;margin-left:183.6pt;margin-top:5.6pt;width:332.45pt;height:64.95pt;z-index:251677696" fillcolor="#1c1a10" stroked="f">
            <v:textbox style="mso-next-textbox:#_x0000_s1043">
              <w:txbxContent>
                <w:p w:rsidR="00753477" w:rsidRPr="009739D0" w:rsidRDefault="00753477" w:rsidP="00753477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</w:pPr>
                  <w:r w:rsidRPr="000230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проводится для спортсменов в целях получения полной и всесторонней информации о физическом развитии, оценки состояния здоровья и состояния организма спортсмена</w:t>
                  </w:r>
                </w:p>
              </w:txbxContent>
            </v:textbox>
          </v:rect>
        </w:pict>
      </w:r>
    </w:p>
    <w:p w:rsidR="00753477" w:rsidRDefault="006B6F70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2" type="#_x0000_t15" style="position:absolute;margin-left:-17.15pt;margin-top:12.65pt;width:200.75pt;height:31.5pt;z-index:251676672" fillcolor="#512603" stroked="f">
            <o:extrusion v:ext="view" backdepth="1in" on="t" viewpoint="0" viewpointorigin="0" skewangle="-90" type="perspective"/>
            <v:textbox style="mso-next-textbox:#_x0000_s1042">
              <w:txbxContent>
                <w:p w:rsidR="00753477" w:rsidRPr="0073673A" w:rsidRDefault="00753477" w:rsidP="00753477">
                  <w:pPr>
                    <w:spacing w:after="0" w:line="240" w:lineRule="auto"/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углубленный</w:t>
                  </w:r>
                </w:p>
              </w:txbxContent>
            </v:textbox>
          </v:shape>
        </w:pict>
      </w: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212. Виды медицинского осмотра</w:t>
      </w:r>
    </w:p>
    <w:p w:rsidR="00753477" w:rsidRPr="00DA790C" w:rsidRDefault="00753477" w:rsidP="007534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Исходя из результатов осмотра, медики принимают решения об определении группы состояния здоровья гражданина, о медицинской группе для занятий физической культурой и спортом, выдает разрешение (допуск) к подготовке и выполнению нормативов и требований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Важно отметить, что допуск к выполнению нормативов и требований Комплекса ГТО получат только лица, относящиеся к основной медицинской группе.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Допуск к выполнению нормативов и требований комплекса ГТО могут получить кроме лиц специальной медицинской группы «А» и «Б» лица, отнесенные к подготовительной медицинской группе, только после дополнительного медицинского осмотра. </w:t>
      </w:r>
    </w:p>
    <w:p w:rsidR="00753477" w:rsidRPr="00B85369" w:rsidRDefault="00753477" w:rsidP="00753477">
      <w:pPr>
        <w:pStyle w:val="Aa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 xml:space="preserve">Для координации и контроля работы по внедрению и реализации комплекса ГТО в каждом регионе, муниципальном образовании и коллективе физической культуры (спортивном клубе) может быть создана </w:t>
      </w:r>
      <w:r w:rsidRPr="00B85369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комиссия ГТО</w:t>
      </w:r>
      <w:r w:rsidRPr="00B853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или </w:t>
      </w:r>
      <w:r w:rsidRPr="00B85369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межведомственный совет ГТО</w:t>
      </w:r>
      <w:r w:rsidRPr="00B85369">
        <w:rPr>
          <w:rFonts w:ascii="Times New Roman" w:hAnsi="Times New Roman" w:cs="Times New Roman"/>
          <w:bCs/>
          <w:color w:val="auto"/>
          <w:sz w:val="24"/>
          <w:szCs w:val="24"/>
        </w:rPr>
        <w:t>, утвержденный решением руководителя.</w:t>
      </w:r>
    </w:p>
    <w:p w:rsidR="00753477" w:rsidRPr="00DA790C" w:rsidRDefault="00753477" w:rsidP="00753477">
      <w:pPr>
        <w:pStyle w:val="Aa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Pr="00B85369">
        <w:rPr>
          <w:rFonts w:ascii="Times New Roman" w:hAnsi="Times New Roman" w:cs="Times New Roman"/>
          <w:i/>
          <w:color w:val="auto"/>
          <w:sz w:val="24"/>
          <w:szCs w:val="24"/>
        </w:rPr>
        <w:t>комиссию</w:t>
      </w:r>
      <w:r w:rsidRPr="00DA790C">
        <w:rPr>
          <w:rFonts w:ascii="Times New Roman" w:hAnsi="Times New Roman" w:cs="Times New Roman"/>
          <w:color w:val="auto"/>
          <w:sz w:val="24"/>
          <w:szCs w:val="24"/>
        </w:rPr>
        <w:t xml:space="preserve"> включаются специалисты по физической культуре, образованию представители администраций учреждений, организаций и предприятий, общественных организаций, профсоюза, средств массовой информации, ветераны спорта и т.д. Состав комиссии утверждается в региональных или муниципальных органах власти (на усмотрение регионов), приказами на предприятиях различных форм собственности.</w:t>
      </w:r>
    </w:p>
    <w:p w:rsidR="00753477" w:rsidRPr="00DA790C" w:rsidRDefault="00753477" w:rsidP="00753477">
      <w:pPr>
        <w:pStyle w:val="Aa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6DC2">
        <w:rPr>
          <w:rFonts w:ascii="Times New Roman" w:hAnsi="Times New Roman" w:cs="Times New Roman"/>
          <w:i/>
          <w:color w:val="auto"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деятельности к</w:t>
      </w:r>
      <w:r w:rsidRPr="00DA790C">
        <w:rPr>
          <w:rFonts w:ascii="Times New Roman" w:hAnsi="Times New Roman" w:cs="Times New Roman"/>
          <w:color w:val="auto"/>
          <w:sz w:val="24"/>
          <w:szCs w:val="24"/>
        </w:rPr>
        <w:t>омиссии ГТО является:</w:t>
      </w:r>
    </w:p>
    <w:p w:rsidR="00753477" w:rsidRPr="00DA790C" w:rsidRDefault="00753477" w:rsidP="00753477">
      <w:pPr>
        <w:pStyle w:val="Aa"/>
        <w:numPr>
          <w:ilvl w:val="0"/>
          <w:numId w:val="11"/>
        </w:numPr>
        <w:shd w:val="clear" w:color="auto" w:fill="DBE5F1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определение единства содержания и формы организации и проведения работы по внедрению комплекса ГТО; </w:t>
      </w:r>
    </w:p>
    <w:p w:rsidR="00753477" w:rsidRPr="00DA790C" w:rsidRDefault="00753477" w:rsidP="00753477">
      <w:pPr>
        <w:pStyle w:val="Aa"/>
        <w:numPr>
          <w:ilvl w:val="0"/>
          <w:numId w:val="11"/>
        </w:numPr>
        <w:shd w:val="clear" w:color="auto" w:fill="F2DBDB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>контроль качества работы по подготовке к выполнению гражданами нормативов комплекса ГТО;</w:t>
      </w:r>
    </w:p>
    <w:p w:rsidR="00753477" w:rsidRPr="00DA790C" w:rsidRDefault="00753477" w:rsidP="00753477">
      <w:pPr>
        <w:pStyle w:val="Aa"/>
        <w:numPr>
          <w:ilvl w:val="0"/>
          <w:numId w:val="11"/>
        </w:numPr>
        <w:shd w:val="clear" w:color="auto" w:fill="D9D9D9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>контроль соблюдения порядка проведения тестирования и оформления итоговых протоколов и иной документации.</w:t>
      </w:r>
    </w:p>
    <w:p w:rsidR="00753477" w:rsidRPr="00B85369" w:rsidRDefault="00753477" w:rsidP="00753477">
      <w:pPr>
        <w:pStyle w:val="Aa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85369">
        <w:rPr>
          <w:rFonts w:ascii="Times New Roman" w:hAnsi="Times New Roman" w:cs="Times New Roman"/>
          <w:bCs/>
          <w:color w:val="auto"/>
          <w:sz w:val="24"/>
          <w:szCs w:val="24"/>
        </w:rPr>
        <w:t>Для в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ыполнения указанных выше задач к</w:t>
      </w:r>
      <w:r w:rsidRPr="00B853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омиссия ГТО может быть наделена следующими </w:t>
      </w:r>
      <w:r w:rsidRPr="00755451"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полномочиями</w:t>
      </w:r>
      <w:r w:rsidRPr="00B8536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753477" w:rsidRPr="00DA790C" w:rsidRDefault="00753477" w:rsidP="00753477">
      <w:pPr>
        <w:pStyle w:val="Aa"/>
        <w:numPr>
          <w:ilvl w:val="0"/>
          <w:numId w:val="10"/>
        </w:numPr>
        <w:shd w:val="clear" w:color="auto" w:fill="EAF1DD"/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>вносить на рассмотрение органов исполнительной власти и местного самоуправления предложения об установлении льготного налогообложения спортсооружений, задействованных в реализации мероприятий по внедрению  комплекса ГТО и об установке минимальных тарифных расходов на содержание, в соответствии с законодательством;</w:t>
      </w:r>
    </w:p>
    <w:p w:rsidR="00753477" w:rsidRPr="00DA790C" w:rsidRDefault="00753477" w:rsidP="00753477">
      <w:pPr>
        <w:pStyle w:val="Aa"/>
        <w:numPr>
          <w:ilvl w:val="0"/>
          <w:numId w:val="10"/>
        </w:numPr>
        <w:shd w:val="clear" w:color="auto" w:fill="FDE9D9"/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 xml:space="preserve">систематически проводить заседания и заслушивать сообщения членов комиссии по актуальным вопросам внедрения комплекса ГТО. </w:t>
      </w:r>
    </w:p>
    <w:p w:rsidR="00753477" w:rsidRPr="00DA790C" w:rsidRDefault="00753477" w:rsidP="00753477">
      <w:pPr>
        <w:pStyle w:val="Aa"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790C">
        <w:rPr>
          <w:rFonts w:ascii="Times New Roman" w:hAnsi="Times New Roman" w:cs="Times New Roman"/>
          <w:color w:val="auto"/>
          <w:sz w:val="24"/>
          <w:szCs w:val="24"/>
        </w:rPr>
        <w:t>Вопросы по внедрению комплекса ГТО должны обсуждаться на предприятиях всех форм собственности, в образовательных организациях, коллективах физической культуры предприятий и организаций.</w:t>
      </w:r>
    </w:p>
    <w:p w:rsidR="00753477" w:rsidRPr="00DA790C" w:rsidRDefault="00753477" w:rsidP="00753477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753477" w:rsidRPr="00DA790C" w:rsidRDefault="00753477" w:rsidP="0075347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DA790C">
        <w:rPr>
          <w:sz w:val="24"/>
          <w:szCs w:val="24"/>
        </w:rPr>
        <w:t xml:space="preserve">В учреждениях системы начального, среднего и высшего профессионального образования </w:t>
      </w:r>
    </w:p>
    <w:p w:rsidR="00753477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FF0000"/>
        </w:rPr>
      </w:pPr>
      <w:r w:rsidRPr="00DA790C">
        <w:rPr>
          <w:rFonts w:ascii="Times New Roman" w:hAnsi="Times New Roman"/>
          <w:sz w:val="24"/>
          <w:szCs w:val="24"/>
          <w:u w:color="FF0000"/>
        </w:rPr>
        <w:t>Организация работы по внедрению комплекса ГТО в образовательных организациях регулируется соответствующими приказами Министерства спорта Российской Федерации и Министерства образования и науки Российской Федерации (</w:t>
      </w:r>
      <w:r w:rsidRPr="00DA790C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 июля 2014 г. №761. «Об определении ответственных исполнителей в Министерстве образования и науки Российской Федерации и Федеральном агентстве по делам молодежи по выполнению плана мероприятий по поэтапному внедрению Всероссийского физкультурно-спортивного комплекса «Готов к труду и обороне» (ГТО))</w:t>
      </w:r>
      <w:r>
        <w:rPr>
          <w:rFonts w:ascii="Times New Roman" w:hAnsi="Times New Roman"/>
          <w:sz w:val="24"/>
          <w:szCs w:val="24"/>
          <w:u w:color="FF0000"/>
        </w:rPr>
        <w:t xml:space="preserve">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FF0000"/>
        </w:rPr>
      </w:pPr>
      <w:r w:rsidRPr="00DA790C">
        <w:rPr>
          <w:rFonts w:ascii="Times New Roman" w:hAnsi="Times New Roman"/>
          <w:sz w:val="24"/>
          <w:szCs w:val="24"/>
          <w:u w:color="FF0000"/>
        </w:rPr>
        <w:t>В соответствии с планами Минобрнауки России предусматриваются следующие мероприятия:</w:t>
      </w:r>
    </w:p>
    <w:p w:rsidR="00753477" w:rsidRPr="00DA790C" w:rsidRDefault="00753477" w:rsidP="00753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AEE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внесение изменений в федеральный компонент государственного стандарта общего образования в раздел «Спортивно-оздоровительная деятельность» в части учета деятельности обучающихся по комплексу ГТО;</w:t>
      </w:r>
    </w:p>
    <w:p w:rsidR="00753477" w:rsidRPr="00DA790C" w:rsidRDefault="00753477" w:rsidP="00753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выпуск методических рекомендаций для учета государственных требований к уровню физической подготовленности при выполнении нормативов и требований комплекса ГТО в общеобразовательных программах по предмету (дисциплине) «Физическая культура»;</w:t>
      </w:r>
    </w:p>
    <w:p w:rsidR="00753477" w:rsidRPr="00DA790C" w:rsidRDefault="00753477" w:rsidP="00753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DD9C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определение мер поощрения обучающихся образовательных организаций, включая возможность установления повышенной государственной  академической стипендии студентам, выполнившим нормативы и требования золотого знака отличия комплекса ГТО.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6B6F70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50" style="position:absolute;margin-left:.2pt;margin-top:4.5pt;width:503.25pt;height:109.05pt;z-index:251684864" arcsize=".5" strokeweight=".25pt">
            <v:textbox style="mso-next-textbox:#_x0000_s1050">
              <w:txbxContent>
                <w:p w:rsidR="00753477" w:rsidRPr="00E6707E" w:rsidRDefault="00753477" w:rsidP="007534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3402" w:right="-6"/>
                    <w:rPr>
                      <w:rStyle w:val="a9"/>
                      <w:b w:val="0"/>
                      <w:bCs w:val="0"/>
                      <w:sz w:val="24"/>
                      <w:szCs w:val="24"/>
                    </w:rPr>
                  </w:pPr>
                  <w:r w:rsidRPr="00E6707E">
                    <w:rPr>
                      <w:rFonts w:ascii="Times New Roman" w:hAnsi="Times New Roman"/>
                      <w:b/>
                      <w:bCs/>
                      <w:i/>
                      <w:color w:val="C00000"/>
                      <w:sz w:val="24"/>
                      <w:szCs w:val="24"/>
                    </w:rPr>
                    <w:t>Информационную поддержку</w:t>
                  </w:r>
                  <w:r w:rsidRPr="00DA79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554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внедрения комплекса ГТО в образовательных организациях</w:t>
                  </w:r>
                  <w:r w:rsidRPr="00DA79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рекомендуется осуществлять через педагогические советы, проведение информационных акций, использование интернет-ресурсов образовательных организаций.</w:t>
                  </w:r>
                </w:p>
              </w:txbxContent>
            </v:textbox>
          </v:roundrect>
        </w:pic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0</wp:posOffset>
            </wp:positionV>
            <wp:extent cx="1828800" cy="1143000"/>
            <wp:effectExtent l="19050" t="0" r="0" b="0"/>
            <wp:wrapNone/>
            <wp:docPr id="27" name="Рисунок 1" descr="D:\Мои документы\Папа\материалы в Интернет\Нуми\методические пособия\2a793f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Папа\материалы в Интернет\Нуми\методические пособия\2a793f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213. Информационная поддержка </w:t>
      </w:r>
      <w:r w:rsidRPr="00755451">
        <w:rPr>
          <w:rFonts w:ascii="Times New Roman" w:hAnsi="Times New Roman"/>
          <w:bCs/>
          <w:sz w:val="24"/>
          <w:szCs w:val="24"/>
        </w:rPr>
        <w:t>внедрения комплекса ГТО в образовательных организациях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Pr="00755451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55451">
        <w:rPr>
          <w:rFonts w:ascii="Times New Roman" w:hAnsi="Times New Roman"/>
          <w:bCs/>
          <w:i/>
          <w:sz w:val="24"/>
          <w:szCs w:val="24"/>
        </w:rPr>
        <w:lastRenderedPageBreak/>
        <w:t>Организационно-методическая поддержка</w:t>
      </w:r>
      <w:r w:rsidRPr="00DA79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451">
        <w:rPr>
          <w:rFonts w:ascii="Times New Roman" w:hAnsi="Times New Roman"/>
          <w:bCs/>
          <w:sz w:val="24"/>
          <w:szCs w:val="24"/>
        </w:rPr>
        <w:t xml:space="preserve">внедрения комплекса ГТО в образовательных организациях включает в себя следующий комплекс мероприятий: </w:t>
      </w:r>
    </w:p>
    <w:p w:rsidR="00753477" w:rsidRPr="00DA790C" w:rsidRDefault="00753477" w:rsidP="007534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внесение изменений в обязанности педагогических работников образовательных организаций, отвечающих за внедрение комплекса ГТО; </w:t>
      </w:r>
    </w:p>
    <w:p w:rsidR="00753477" w:rsidRPr="00DA790C" w:rsidRDefault="00753477" w:rsidP="007534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включение в программы учебного предмета «Физическая культура», внеучебных курсов деятельность по формированию у обучающихся  компетенций, предусмотренных требованиями комплекса ГТО; </w:t>
      </w:r>
    </w:p>
    <w:p w:rsidR="00753477" w:rsidRPr="00DA790C" w:rsidRDefault="00753477" w:rsidP="0075347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обеспечение педагогических работников необходимыми учебно-методическими материалами. 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Рекомендации предусматривают </w:t>
      </w:r>
      <w:r w:rsidRPr="00755451">
        <w:rPr>
          <w:rFonts w:ascii="Times New Roman" w:hAnsi="Times New Roman"/>
          <w:bCs/>
          <w:i/>
          <w:sz w:val="24"/>
          <w:szCs w:val="24"/>
        </w:rPr>
        <w:t>меры материально-технического оснащения образовательных организаций необходимым инвентарем и спортивным оборудованием</w:t>
      </w:r>
      <w:r w:rsidRPr="00755451">
        <w:rPr>
          <w:rFonts w:ascii="Times New Roman" w:hAnsi="Times New Roman"/>
          <w:i/>
          <w:sz w:val="24"/>
          <w:szCs w:val="24"/>
        </w:rPr>
        <w:t>.</w:t>
      </w:r>
      <w:r w:rsidRPr="00DA790C">
        <w:rPr>
          <w:rFonts w:ascii="Times New Roman" w:hAnsi="Times New Roman"/>
          <w:sz w:val="24"/>
          <w:szCs w:val="24"/>
        </w:rPr>
        <w:t xml:space="preserve"> Поддержка профессионального развития работников физической культуры и педагогических работников будет осуществляться через повышение квалификации работников образовательных организаций, организацию семинаров, конференций, конкурсов.</w: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12192" distB="16764" distL="114300" distR="115824" simplePos="0" relativeHeight="251687936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165608</wp:posOffset>
            </wp:positionV>
            <wp:extent cx="1806194" cy="1485646"/>
            <wp:effectExtent l="19050" t="0" r="3556" b="0"/>
            <wp:wrapNone/>
            <wp:docPr id="29" name="Рисунок 2" descr="D:\Мои документы\Папа\материалы в Интернет\Нуми\методические пособия\ab9fdd2179db00f111372ab1c1ui--odezhda-vrach-lo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Папа\материалы в Интернет\Нуми\методические пособия\ab9fdd2179db00f111372ab1c1ui--odezhda-vrach-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19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6194" cy="148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B6F70"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52" style="position:absolute;margin-left:.2pt;margin-top:4.5pt;width:503.25pt;height:133.8pt;z-index:251686912;mso-position-horizontal-relative:text;mso-position-vertical-relative:text" arcsize=".5" fillcolor="#f2f2f2" strokeweight=".25pt">
            <v:textbox style="mso-next-textbox:#_x0000_s1052">
              <w:txbxContent>
                <w:p w:rsidR="00753477" w:rsidRDefault="00753477" w:rsidP="007534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0" w:line="240" w:lineRule="auto"/>
                    <w:ind w:left="142" w:right="3218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753477" w:rsidRPr="00E6707E" w:rsidRDefault="00753477" w:rsidP="007534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0" w:line="240" w:lineRule="auto"/>
                    <w:ind w:left="142" w:right="3218"/>
                    <w:rPr>
                      <w:rStyle w:val="a9"/>
                      <w:b w:val="0"/>
                      <w:bCs w:val="0"/>
                      <w:sz w:val="24"/>
                      <w:szCs w:val="24"/>
                    </w:rPr>
                  </w:pPr>
                  <w:r w:rsidRPr="00631EE2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Медицинское сопровождение</w:t>
                  </w:r>
                  <w:r w:rsidRPr="0075545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DA790C">
                    <w:rPr>
                      <w:rFonts w:ascii="Times New Roman" w:hAnsi="Times New Roman"/>
                      <w:sz w:val="24"/>
                      <w:szCs w:val="24"/>
                    </w:rPr>
                    <w:t>внедрения комплекса ГТО осуществляется на основании П</w:t>
                  </w:r>
                  <w:r w:rsidRPr="00DA790C">
                    <w:rPr>
                      <w:rFonts w:ascii="Times New Roman" w:hAnsi="Times New Roman"/>
                      <w:sz w:val="24"/>
                      <w:szCs w:val="24"/>
                      <w:u w:color="232323"/>
                    </w:rPr>
                    <w:t>орядка оказания медицинской помощи при проведении физкультурных и спортивных мероприятий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color="232323"/>
                    </w:rPr>
                    <w:t>.</w:t>
                  </w:r>
                </w:p>
              </w:txbxContent>
            </v:textbox>
          </v:roundrect>
        </w:pict>
      </w: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214. Медицинское сопровождение </w:t>
      </w:r>
      <w:r w:rsidRPr="00DA790C">
        <w:rPr>
          <w:rFonts w:ascii="Times New Roman" w:hAnsi="Times New Roman"/>
          <w:sz w:val="24"/>
          <w:szCs w:val="24"/>
        </w:rPr>
        <w:t>внедрения комплекса ГТО</w:t>
      </w:r>
    </w:p>
    <w:p w:rsidR="00753477" w:rsidRPr="00324EDD" w:rsidRDefault="00753477" w:rsidP="00753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color="FF0000"/>
        </w:rPr>
      </w:pPr>
      <w:r w:rsidRPr="00DA790C">
        <w:rPr>
          <w:rFonts w:ascii="Times New Roman" w:hAnsi="Times New Roman"/>
          <w:sz w:val="24"/>
          <w:szCs w:val="24"/>
          <w:u w:color="FF0000"/>
        </w:rPr>
        <w:t>Учебные занятия по физической культуре, внеурочные занятия по различным видам спорта, занятия в физкультурно-спортивных клубах образовательных организаций являются формой подготовки граждан к выполнению нормативов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  <w:u w:color="FF0000"/>
        </w:rPr>
        <w:t>Привлечение и подготовка обучающихся к выполнению нормативов и требований комплекса ГТО может осуществляться, наряду с указанными выше, и иными формами деятельности:</w:t>
      </w:r>
    </w:p>
    <w:p w:rsidR="00753477" w:rsidRPr="00DA790C" w:rsidRDefault="00753477" w:rsidP="007534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физкультурно-спортивные мероприятия, включающие тестирование комплекса ГТО;</w:t>
      </w:r>
    </w:p>
    <w:p w:rsidR="00753477" w:rsidRPr="00DA790C" w:rsidRDefault="00753477" w:rsidP="007534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DE9D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фестивали, конкурсы, военно-патриотические праздники;</w:t>
      </w:r>
    </w:p>
    <w:p w:rsidR="00753477" w:rsidRPr="00DA790C" w:rsidRDefault="00753477" w:rsidP="007534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DD9C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мастер-классы, встречи, «круглые столы» с участием известных спортсменов и тренеров.</w:t>
      </w:r>
    </w:p>
    <w:p w:rsidR="00753477" w:rsidRPr="00755451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55451">
        <w:rPr>
          <w:rFonts w:ascii="Times New Roman" w:hAnsi="Times New Roman"/>
          <w:bCs/>
          <w:i/>
          <w:sz w:val="24"/>
          <w:szCs w:val="24"/>
        </w:rPr>
        <w:t xml:space="preserve">Обязанности </w:t>
      </w:r>
      <w:r w:rsidRPr="00755451">
        <w:rPr>
          <w:rFonts w:ascii="Times New Roman" w:hAnsi="Times New Roman"/>
          <w:bCs/>
          <w:sz w:val="24"/>
          <w:szCs w:val="24"/>
        </w:rPr>
        <w:t>педагогических и физкультурно-спортивных работников по внедрению комплекса ГТО включают: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оказание консультационной и методической помощи желающим подготовиться к выполнению нормативов и требований комплекса ГТО;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AEEF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осуществление контрольных тестирований по предварительной оценке уровня подготовленности граждан к выполнению нормативов;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C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пропаганда и популяризация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Результатом работы по подготовке к тестированию должно стать освоение тестов (испытаний) комплекса ГТО, знаний и навыков ведения здорового образа жизни.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Физкультурно-спортивные и педагогические работники должны пройти повышение квалификации, предусматривающее освоение знаний  по внедрению комплекса ГТО.</w:t>
      </w:r>
    </w:p>
    <w:p w:rsidR="00753477" w:rsidRPr="00DA790C" w:rsidRDefault="00753477" w:rsidP="00753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Для организации работы по обеспечению условий для подготовки обучающихся к выполнению нормативов и требований комплекса ГТО образовательным организациям </w:t>
      </w:r>
      <w:r w:rsidRPr="00DA790C">
        <w:rPr>
          <w:rFonts w:ascii="Times New Roman" w:hAnsi="Times New Roman"/>
          <w:sz w:val="24"/>
          <w:szCs w:val="24"/>
        </w:rPr>
        <w:lastRenderedPageBreak/>
        <w:t>необходимо разработать и утвердить план (дорожную карту), который включает следующие направления: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определение координаторов работы (ответственных)  по данному направлению деятельности;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5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принятие необходимых нормативно-правовых актов организации;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DBDB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анализ состояния материально-технической базы и спортивной инфраструктуры организации, приспособленных для проведения занятий и тестирования комплекса ГТО;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C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разработка образовательных программ с учетом особенностей комплекса ГТО;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DD9C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обеспечение медицинского сопровождения;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AF1D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разработка мер поощрения для физкультурно-спортивных и педагогических работников, участвующих в данной деятельности;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5DFEC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составление календарного плана и проведение мероприятий по внедрению комплекса ГТО (физкультурно-массовые мероприятия, фестивали, конкурсы, мастер-классы, контрольные тестирования и др.);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AEEF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>повышение квалификации физкультурно-спортивных и педагогических работников;</w:t>
      </w:r>
    </w:p>
    <w:p w:rsidR="00753477" w:rsidRPr="00DA790C" w:rsidRDefault="00753477" w:rsidP="00753477">
      <w:pPr>
        <w:pStyle w:val="a6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DE9D9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790C">
        <w:rPr>
          <w:rFonts w:ascii="Times New Roman" w:hAnsi="Times New Roman"/>
          <w:sz w:val="24"/>
          <w:szCs w:val="24"/>
        </w:rPr>
        <w:t xml:space="preserve"> организация взаимодействия с физкультурно-спортивными, общественными и иными организациями. </w:t>
      </w:r>
    </w:p>
    <w:p w:rsidR="00753477" w:rsidRPr="00DA790C" w:rsidRDefault="00753477" w:rsidP="007534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3477" w:rsidRDefault="00753477" w:rsidP="0075347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3477" w:rsidSect="00701B87"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DE4" w:rsidRDefault="00E75DE4" w:rsidP="006B6F70">
      <w:pPr>
        <w:spacing w:after="0" w:line="240" w:lineRule="auto"/>
      </w:pPr>
      <w:r>
        <w:separator/>
      </w:r>
    </w:p>
  </w:endnote>
  <w:endnote w:type="continuationSeparator" w:id="1">
    <w:p w:rsidR="00E75DE4" w:rsidRDefault="00E75DE4" w:rsidP="006B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DE4" w:rsidRDefault="00E75DE4" w:rsidP="006B6F70">
      <w:pPr>
        <w:spacing w:after="0" w:line="240" w:lineRule="auto"/>
      </w:pPr>
      <w:r>
        <w:separator/>
      </w:r>
    </w:p>
  </w:footnote>
  <w:footnote w:type="continuationSeparator" w:id="1">
    <w:p w:rsidR="00E75DE4" w:rsidRDefault="00E75DE4" w:rsidP="006B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6C37"/>
    <w:multiLevelType w:val="hybridMultilevel"/>
    <w:tmpl w:val="B754C1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A95ED0"/>
    <w:multiLevelType w:val="hybridMultilevel"/>
    <w:tmpl w:val="2C0C30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6A4EB3"/>
    <w:multiLevelType w:val="hybridMultilevel"/>
    <w:tmpl w:val="F02C66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B90ECF"/>
    <w:multiLevelType w:val="multilevel"/>
    <w:tmpl w:val="4D7633E8"/>
    <w:lvl w:ilvl="0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>
    <w:nsid w:val="162A0703"/>
    <w:multiLevelType w:val="hybridMultilevel"/>
    <w:tmpl w:val="66C2B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6E73CD"/>
    <w:multiLevelType w:val="hybridMultilevel"/>
    <w:tmpl w:val="9E745F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33426E"/>
    <w:multiLevelType w:val="hybridMultilevel"/>
    <w:tmpl w:val="8004A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8370F2"/>
    <w:multiLevelType w:val="hybridMultilevel"/>
    <w:tmpl w:val="84E0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E698F"/>
    <w:multiLevelType w:val="hybridMultilevel"/>
    <w:tmpl w:val="ACA61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534580A"/>
    <w:multiLevelType w:val="hybridMultilevel"/>
    <w:tmpl w:val="8CB462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AF637BD"/>
    <w:multiLevelType w:val="hybridMultilevel"/>
    <w:tmpl w:val="FAA09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80420E8"/>
    <w:multiLevelType w:val="hybridMultilevel"/>
    <w:tmpl w:val="555299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BE754F4"/>
    <w:multiLevelType w:val="hybridMultilevel"/>
    <w:tmpl w:val="B04A8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10F19CE"/>
    <w:multiLevelType w:val="hybridMultilevel"/>
    <w:tmpl w:val="76700C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45A6C9C"/>
    <w:multiLevelType w:val="hybridMultilevel"/>
    <w:tmpl w:val="E4CADF2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>
    <w:nsid w:val="781E7AE5"/>
    <w:multiLevelType w:val="hybridMultilevel"/>
    <w:tmpl w:val="D890C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477"/>
    <w:rsid w:val="0021066C"/>
    <w:rsid w:val="00311569"/>
    <w:rsid w:val="006B6F70"/>
    <w:rsid w:val="00701B87"/>
    <w:rsid w:val="00753477"/>
    <w:rsid w:val="007F44EA"/>
    <w:rsid w:val="00897356"/>
    <w:rsid w:val="00915581"/>
    <w:rsid w:val="00E7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7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unhideWhenUsed/>
    <w:rsid w:val="00753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753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5347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5347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53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3477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477"/>
    <w:rPr>
      <w:b/>
      <w:bCs/>
    </w:rPr>
  </w:style>
  <w:style w:type="paragraph" w:customStyle="1" w:styleId="Aa">
    <w:name w:val="По умолчанию A"/>
    <w:rsid w:val="00753477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Arial Unicode MS" w:eastAsia="Arial Unicode MS" w:hAnsi="Helvetica" w:cs="Arial Unicode MS"/>
      <w:color w:val="000000"/>
      <w:u w:color="000000"/>
      <w:bdr w:val="nil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01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1B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2290</Words>
  <Characters>13056</Characters>
  <Application>Microsoft Office Word</Application>
  <DocSecurity>0</DocSecurity>
  <Lines>108</Lines>
  <Paragraphs>30</Paragraphs>
  <ScaleCrop>false</ScaleCrop>
  <Company/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2024-03-11T06:00:00Z</dcterms:created>
  <dcterms:modified xsi:type="dcterms:W3CDTF">2024-03-12T10:05:00Z</dcterms:modified>
</cp:coreProperties>
</file>